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52F" w:rsidRPr="00575624" w:rsidRDefault="00575624" w:rsidP="00575624">
      <w:pPr>
        <w:pStyle w:val="Heading2"/>
        <w:ind w:left="142"/>
        <w:rPr>
          <w:rFonts w:asciiTheme="minorHAnsi" w:hAnsiTheme="minorHAnsi" w:cstheme="minorHAnsi"/>
          <w:sz w:val="22"/>
          <w:szCs w:val="22"/>
        </w:rPr>
      </w:pPr>
      <w:r w:rsidRPr="0095252F">
        <w:rPr>
          <w:rFonts w:asciiTheme="minorHAnsi" w:hAnsiTheme="minorHAnsi" w:cstheme="minorHAnsi"/>
          <w:sz w:val="22"/>
          <w:szCs w:val="22"/>
        </w:rPr>
        <w:object w:dxaOrig="9285" w:dyaOrig="1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25pt;height:57.25pt" o:ole="">
            <v:imagedata r:id="rId9" o:title=""/>
          </v:shape>
          <o:OLEObject Type="Embed" ProgID="Excel.Sheet.12" ShapeID="_x0000_i1025" DrawAspect="Content" ObjectID="_1441724955" r:id="rId10"/>
        </w:object>
      </w:r>
    </w:p>
    <w:p w:rsidR="00230E45" w:rsidRPr="00575624" w:rsidRDefault="00230E45" w:rsidP="00C47924">
      <w:pPr>
        <w:pStyle w:val="Heading5"/>
        <w:numPr>
          <w:ilvl w:val="0"/>
          <w:numId w:val="2"/>
        </w:numPr>
        <w:ind w:left="567" w:hanging="567"/>
        <w:rPr>
          <w:sz w:val="21"/>
          <w:szCs w:val="21"/>
        </w:rPr>
      </w:pPr>
      <w:r w:rsidRPr="00575624">
        <w:rPr>
          <w:bCs/>
          <w:sz w:val="21"/>
          <w:szCs w:val="21"/>
        </w:rPr>
        <w:t>Basis of Preparation</w:t>
      </w:r>
    </w:p>
    <w:p w:rsidR="008A3C01" w:rsidRPr="00575624" w:rsidRDefault="008A3C01" w:rsidP="008A3C01">
      <w:pPr>
        <w:pStyle w:val="Default"/>
        <w:jc w:val="both"/>
        <w:rPr>
          <w:rFonts w:ascii="Times New Roman" w:hAnsi="Times New Roman" w:cs="Times New Roman"/>
          <w:sz w:val="21"/>
          <w:szCs w:val="21"/>
        </w:rPr>
      </w:pPr>
    </w:p>
    <w:p w:rsidR="00230E45" w:rsidRPr="00575624" w:rsidRDefault="008A3C01" w:rsidP="00D91166">
      <w:pPr>
        <w:pStyle w:val="Default"/>
        <w:ind w:left="567"/>
        <w:jc w:val="both"/>
        <w:rPr>
          <w:rFonts w:ascii="Times New Roman" w:hAnsi="Times New Roman" w:cs="Times New Roman"/>
          <w:sz w:val="21"/>
          <w:szCs w:val="21"/>
        </w:rPr>
      </w:pPr>
      <w:r w:rsidRPr="00575624">
        <w:rPr>
          <w:rFonts w:ascii="Times New Roman" w:hAnsi="Times New Roman" w:cs="Times New Roman"/>
          <w:sz w:val="21"/>
          <w:szCs w:val="21"/>
        </w:rPr>
        <w:t>Th</w:t>
      </w:r>
      <w:r w:rsidR="00EB1D92" w:rsidRPr="00575624">
        <w:rPr>
          <w:rFonts w:ascii="Times New Roman" w:hAnsi="Times New Roman" w:cs="Times New Roman"/>
          <w:sz w:val="21"/>
          <w:szCs w:val="21"/>
        </w:rPr>
        <w:t xml:space="preserve">ese </w:t>
      </w:r>
      <w:r w:rsidR="00EC066E" w:rsidRPr="00575624">
        <w:rPr>
          <w:rFonts w:ascii="Times New Roman" w:hAnsi="Times New Roman" w:cs="Times New Roman"/>
          <w:sz w:val="21"/>
          <w:szCs w:val="21"/>
        </w:rPr>
        <w:t xml:space="preserve">unaudited </w:t>
      </w:r>
      <w:r w:rsidRPr="00575624">
        <w:rPr>
          <w:rFonts w:ascii="Times New Roman" w:hAnsi="Times New Roman" w:cs="Times New Roman"/>
          <w:sz w:val="21"/>
          <w:szCs w:val="21"/>
        </w:rPr>
        <w:t>condensed consolidat</w:t>
      </w:r>
      <w:r w:rsidR="00EB1D92" w:rsidRPr="00575624">
        <w:rPr>
          <w:rFonts w:ascii="Times New Roman" w:hAnsi="Times New Roman" w:cs="Times New Roman"/>
          <w:sz w:val="21"/>
          <w:szCs w:val="21"/>
        </w:rPr>
        <w:t>ed interim financial statements</w:t>
      </w:r>
      <w:r w:rsidR="00230E45" w:rsidRPr="00575624">
        <w:rPr>
          <w:rFonts w:ascii="Times New Roman" w:hAnsi="Times New Roman" w:cs="Times New Roman"/>
          <w:sz w:val="21"/>
          <w:szCs w:val="21"/>
        </w:rPr>
        <w:t xml:space="preserve"> (Condensed Report)</w:t>
      </w:r>
      <w:r w:rsidR="00EB1D92" w:rsidRPr="00575624">
        <w:rPr>
          <w:rFonts w:ascii="Times New Roman" w:hAnsi="Times New Roman" w:cs="Times New Roman"/>
          <w:sz w:val="21"/>
          <w:szCs w:val="21"/>
        </w:rPr>
        <w:t xml:space="preserve"> </w:t>
      </w:r>
      <w:r w:rsidR="00614761" w:rsidRPr="00575624">
        <w:rPr>
          <w:rFonts w:ascii="Times New Roman" w:hAnsi="Times New Roman" w:cs="Times New Roman"/>
          <w:sz w:val="21"/>
          <w:szCs w:val="21"/>
        </w:rPr>
        <w:t xml:space="preserve">of </w:t>
      </w:r>
      <w:proofErr w:type="spellStart"/>
      <w:r w:rsidR="00614761" w:rsidRPr="00575624">
        <w:rPr>
          <w:rFonts w:ascii="Times New Roman" w:hAnsi="Times New Roman" w:cs="Times New Roman"/>
          <w:sz w:val="21"/>
          <w:szCs w:val="21"/>
        </w:rPr>
        <w:t>Yinson</w:t>
      </w:r>
      <w:proofErr w:type="spellEnd"/>
      <w:r w:rsidR="00614761" w:rsidRPr="00575624">
        <w:rPr>
          <w:rFonts w:ascii="Times New Roman" w:hAnsi="Times New Roman" w:cs="Times New Roman"/>
          <w:sz w:val="21"/>
          <w:szCs w:val="21"/>
        </w:rPr>
        <w:t xml:space="preserve"> Holdings Berhad (the “Group”) </w:t>
      </w:r>
      <w:r w:rsidR="00EB1D92" w:rsidRPr="00575624">
        <w:rPr>
          <w:rFonts w:ascii="Times New Roman" w:hAnsi="Times New Roman" w:cs="Times New Roman"/>
          <w:sz w:val="21"/>
          <w:szCs w:val="21"/>
        </w:rPr>
        <w:t xml:space="preserve">for the </w:t>
      </w:r>
      <w:r w:rsidR="00CE34A5" w:rsidRPr="00575624">
        <w:rPr>
          <w:rFonts w:ascii="Times New Roman" w:hAnsi="Times New Roman" w:cs="Times New Roman"/>
          <w:sz w:val="21"/>
          <w:szCs w:val="21"/>
        </w:rPr>
        <w:t>period</w:t>
      </w:r>
      <w:r w:rsidR="00EB1D92" w:rsidRPr="00575624">
        <w:rPr>
          <w:rFonts w:ascii="Times New Roman" w:hAnsi="Times New Roman" w:cs="Times New Roman"/>
          <w:sz w:val="21"/>
          <w:szCs w:val="21"/>
        </w:rPr>
        <w:t xml:space="preserve"> ended 3</w:t>
      </w:r>
      <w:r w:rsidR="00731040" w:rsidRPr="00575624">
        <w:rPr>
          <w:rFonts w:ascii="Times New Roman" w:hAnsi="Times New Roman" w:cs="Times New Roman"/>
          <w:sz w:val="21"/>
          <w:szCs w:val="21"/>
        </w:rPr>
        <w:t>1</w:t>
      </w:r>
      <w:r w:rsidR="00221433" w:rsidRPr="00575624">
        <w:rPr>
          <w:rFonts w:ascii="Times New Roman" w:hAnsi="Times New Roman" w:cs="Times New Roman"/>
          <w:sz w:val="21"/>
          <w:szCs w:val="21"/>
        </w:rPr>
        <w:t xml:space="preserve"> </w:t>
      </w:r>
      <w:r w:rsidR="00731040" w:rsidRPr="00575624">
        <w:rPr>
          <w:rFonts w:ascii="Times New Roman" w:hAnsi="Times New Roman" w:cs="Times New Roman"/>
          <w:sz w:val="21"/>
          <w:szCs w:val="21"/>
        </w:rPr>
        <w:t>July</w:t>
      </w:r>
      <w:r w:rsidR="00EB1D92" w:rsidRPr="00575624">
        <w:rPr>
          <w:rFonts w:ascii="Times New Roman" w:hAnsi="Times New Roman" w:cs="Times New Roman"/>
          <w:sz w:val="21"/>
          <w:szCs w:val="21"/>
        </w:rPr>
        <w:t xml:space="preserve"> 201</w:t>
      </w:r>
      <w:r w:rsidR="000E6D5D" w:rsidRPr="00575624">
        <w:rPr>
          <w:rFonts w:ascii="Times New Roman" w:hAnsi="Times New Roman" w:cs="Times New Roman"/>
          <w:sz w:val="21"/>
          <w:szCs w:val="21"/>
        </w:rPr>
        <w:t>3</w:t>
      </w:r>
      <w:r w:rsidRPr="00575624">
        <w:rPr>
          <w:rFonts w:ascii="Times New Roman" w:hAnsi="Times New Roman" w:cs="Times New Roman"/>
          <w:sz w:val="21"/>
          <w:szCs w:val="21"/>
        </w:rPr>
        <w:t xml:space="preserve"> ha</w:t>
      </w:r>
      <w:r w:rsidR="00EB1D92" w:rsidRPr="00575624">
        <w:rPr>
          <w:rFonts w:ascii="Times New Roman" w:hAnsi="Times New Roman" w:cs="Times New Roman"/>
          <w:sz w:val="21"/>
          <w:szCs w:val="21"/>
        </w:rPr>
        <w:t>ve</w:t>
      </w:r>
      <w:r w:rsidRPr="00575624">
        <w:rPr>
          <w:rFonts w:ascii="Times New Roman" w:hAnsi="Times New Roman" w:cs="Times New Roman"/>
          <w:sz w:val="21"/>
          <w:szCs w:val="21"/>
        </w:rPr>
        <w:t xml:space="preserve"> been prepared </w:t>
      </w:r>
      <w:r w:rsidR="00804E86" w:rsidRPr="00575624">
        <w:rPr>
          <w:rFonts w:ascii="Times New Roman" w:hAnsi="Times New Roman" w:cs="Times New Roman"/>
          <w:sz w:val="21"/>
          <w:szCs w:val="21"/>
        </w:rPr>
        <w:t>in accordance</w:t>
      </w:r>
      <w:r w:rsidRPr="00575624">
        <w:rPr>
          <w:rFonts w:ascii="Times New Roman" w:hAnsi="Times New Roman" w:cs="Times New Roman"/>
          <w:sz w:val="21"/>
          <w:szCs w:val="21"/>
        </w:rPr>
        <w:t xml:space="preserve"> with </w:t>
      </w:r>
      <w:r w:rsidRPr="00575624">
        <w:rPr>
          <w:rFonts w:ascii="Times New Roman" w:hAnsi="Times New Roman" w:cs="Times New Roman"/>
          <w:i/>
          <w:iCs/>
          <w:sz w:val="21"/>
          <w:szCs w:val="21"/>
        </w:rPr>
        <w:t>MFRS134: Interim Financial Reporting</w:t>
      </w:r>
      <w:r w:rsidR="00EC066E" w:rsidRPr="00575624">
        <w:rPr>
          <w:rFonts w:ascii="Times New Roman" w:hAnsi="Times New Roman" w:cs="Times New Roman"/>
          <w:i/>
          <w:iCs/>
          <w:sz w:val="21"/>
          <w:szCs w:val="21"/>
        </w:rPr>
        <w:t>,</w:t>
      </w:r>
      <w:r w:rsidRPr="00575624">
        <w:rPr>
          <w:rFonts w:ascii="Times New Roman" w:hAnsi="Times New Roman" w:cs="Times New Roman"/>
          <w:sz w:val="21"/>
          <w:szCs w:val="21"/>
        </w:rPr>
        <w:t xml:space="preserve"> paragraph 9.22 </w:t>
      </w:r>
      <w:r w:rsidR="00EC066E" w:rsidRPr="00575624">
        <w:rPr>
          <w:rFonts w:ascii="Times New Roman" w:hAnsi="Times New Roman" w:cs="Times New Roman"/>
          <w:sz w:val="21"/>
          <w:szCs w:val="21"/>
        </w:rPr>
        <w:t xml:space="preserve">and Appendix 9B </w:t>
      </w:r>
      <w:r w:rsidRPr="00575624">
        <w:rPr>
          <w:rFonts w:ascii="Times New Roman" w:hAnsi="Times New Roman" w:cs="Times New Roman"/>
          <w:sz w:val="21"/>
          <w:szCs w:val="21"/>
        </w:rPr>
        <w:t xml:space="preserve">of the Main Market Listing Requirements of Bursa Malaysia Securities Berhad. </w:t>
      </w:r>
      <w:proofErr w:type="gramStart"/>
      <w:r w:rsidR="00804E86" w:rsidRPr="00575624">
        <w:rPr>
          <w:rFonts w:ascii="Times New Roman" w:hAnsi="Times New Roman" w:cs="Times New Roman"/>
          <w:sz w:val="21"/>
          <w:szCs w:val="21"/>
        </w:rPr>
        <w:t>Th</w:t>
      </w:r>
      <w:r w:rsidR="00230E45" w:rsidRPr="00575624">
        <w:rPr>
          <w:rFonts w:ascii="Times New Roman" w:hAnsi="Times New Roman" w:cs="Times New Roman"/>
          <w:sz w:val="21"/>
          <w:szCs w:val="21"/>
        </w:rPr>
        <w:t>is</w:t>
      </w:r>
      <w:r w:rsidR="003B05D0" w:rsidRPr="00575624">
        <w:rPr>
          <w:rFonts w:ascii="Times New Roman" w:hAnsi="Times New Roman" w:cs="Times New Roman"/>
          <w:sz w:val="21"/>
          <w:szCs w:val="21"/>
        </w:rPr>
        <w:t xml:space="preserve"> </w:t>
      </w:r>
      <w:r w:rsidR="00230E45" w:rsidRPr="00575624">
        <w:rPr>
          <w:rFonts w:ascii="Times New Roman" w:hAnsi="Times New Roman" w:cs="Times New Roman"/>
          <w:sz w:val="21"/>
          <w:szCs w:val="21"/>
        </w:rPr>
        <w:t>c</w:t>
      </w:r>
      <w:r w:rsidR="00804E86" w:rsidRPr="00575624">
        <w:rPr>
          <w:rFonts w:ascii="Times New Roman" w:hAnsi="Times New Roman" w:cs="Times New Roman"/>
          <w:sz w:val="21"/>
          <w:szCs w:val="21"/>
        </w:rPr>
        <w:t>ondensed</w:t>
      </w:r>
      <w:r w:rsidR="00230E45" w:rsidRPr="00575624">
        <w:rPr>
          <w:rFonts w:ascii="Times New Roman" w:hAnsi="Times New Roman" w:cs="Times New Roman"/>
          <w:sz w:val="21"/>
          <w:szCs w:val="21"/>
        </w:rPr>
        <w:t xml:space="preserve"> report</w:t>
      </w:r>
      <w:r w:rsidR="0095252F" w:rsidRPr="00575624">
        <w:rPr>
          <w:rFonts w:ascii="Times New Roman" w:hAnsi="Times New Roman" w:cs="Times New Roman"/>
          <w:sz w:val="21"/>
          <w:szCs w:val="21"/>
        </w:rPr>
        <w:t xml:space="preserve"> also comply</w:t>
      </w:r>
      <w:proofErr w:type="gramEnd"/>
      <w:r w:rsidR="00804E86" w:rsidRPr="00575624">
        <w:rPr>
          <w:rFonts w:ascii="Times New Roman" w:hAnsi="Times New Roman" w:cs="Times New Roman"/>
          <w:sz w:val="21"/>
          <w:szCs w:val="21"/>
        </w:rPr>
        <w:t xml:space="preserve"> with </w:t>
      </w:r>
      <w:r w:rsidR="00804E86" w:rsidRPr="00575624">
        <w:rPr>
          <w:rFonts w:ascii="Times New Roman" w:hAnsi="Times New Roman" w:cs="Times New Roman"/>
          <w:i/>
          <w:sz w:val="21"/>
          <w:szCs w:val="21"/>
        </w:rPr>
        <w:t>IAS34: Interim Financial Reporting</w:t>
      </w:r>
      <w:r w:rsidR="00041721" w:rsidRPr="00575624">
        <w:rPr>
          <w:rFonts w:ascii="Times New Roman" w:hAnsi="Times New Roman" w:cs="Times New Roman"/>
          <w:i/>
          <w:sz w:val="21"/>
          <w:szCs w:val="21"/>
        </w:rPr>
        <w:t xml:space="preserve"> </w:t>
      </w:r>
      <w:r w:rsidRPr="00575624">
        <w:rPr>
          <w:rFonts w:ascii="Times New Roman" w:hAnsi="Times New Roman" w:cs="Times New Roman"/>
          <w:sz w:val="21"/>
          <w:szCs w:val="21"/>
        </w:rPr>
        <w:t>issued by the International Accounting Standards Board (</w:t>
      </w:r>
      <w:r w:rsidR="0053507A" w:rsidRPr="00575624">
        <w:rPr>
          <w:rFonts w:ascii="Times New Roman" w:hAnsi="Times New Roman" w:cs="Times New Roman"/>
          <w:sz w:val="21"/>
          <w:szCs w:val="21"/>
        </w:rPr>
        <w:t>“</w:t>
      </w:r>
      <w:r w:rsidRPr="00575624">
        <w:rPr>
          <w:rFonts w:ascii="Times New Roman" w:hAnsi="Times New Roman" w:cs="Times New Roman"/>
          <w:sz w:val="21"/>
          <w:szCs w:val="21"/>
        </w:rPr>
        <w:t>IASB</w:t>
      </w:r>
      <w:r w:rsidR="0053507A" w:rsidRPr="00575624">
        <w:rPr>
          <w:rFonts w:ascii="Times New Roman" w:hAnsi="Times New Roman" w:cs="Times New Roman"/>
          <w:sz w:val="21"/>
          <w:szCs w:val="21"/>
        </w:rPr>
        <w:t>”</w:t>
      </w:r>
      <w:r w:rsidRPr="00575624">
        <w:rPr>
          <w:rFonts w:ascii="Times New Roman" w:hAnsi="Times New Roman" w:cs="Times New Roman"/>
          <w:sz w:val="21"/>
          <w:szCs w:val="21"/>
        </w:rPr>
        <w:t xml:space="preserve">). </w:t>
      </w:r>
    </w:p>
    <w:p w:rsidR="003B05D0" w:rsidRPr="00575624" w:rsidRDefault="003B05D0" w:rsidP="00D91166">
      <w:pPr>
        <w:pStyle w:val="Default"/>
        <w:ind w:left="567"/>
        <w:jc w:val="both"/>
        <w:rPr>
          <w:rFonts w:ascii="Times New Roman" w:hAnsi="Times New Roman" w:cs="Times New Roman"/>
          <w:sz w:val="21"/>
          <w:szCs w:val="21"/>
        </w:rPr>
      </w:pPr>
    </w:p>
    <w:p w:rsidR="0068546B" w:rsidRPr="00575624" w:rsidRDefault="00230E45" w:rsidP="0068546B">
      <w:pPr>
        <w:ind w:left="567"/>
        <w:jc w:val="both"/>
        <w:rPr>
          <w:sz w:val="21"/>
          <w:szCs w:val="21"/>
          <w:lang w:val="en-MY"/>
        </w:rPr>
      </w:pPr>
      <w:r w:rsidRPr="00575624">
        <w:rPr>
          <w:sz w:val="21"/>
          <w:szCs w:val="21"/>
        </w:rPr>
        <w:t xml:space="preserve">This condensed report should be read in conjunction with the audited financial statements for the financial year ended 31 January 2013.  </w:t>
      </w:r>
      <w:r w:rsidR="0068546B" w:rsidRPr="00575624">
        <w:rPr>
          <w:sz w:val="21"/>
          <w:szCs w:val="21"/>
          <w:lang w:val="en-MY"/>
        </w:rPr>
        <w:t>The significant accounting policies and methods adopted for the unaudited condensed report are</w:t>
      </w:r>
      <w:r w:rsidR="00221433" w:rsidRPr="00575624">
        <w:rPr>
          <w:sz w:val="21"/>
          <w:szCs w:val="21"/>
          <w:lang w:val="en-MY"/>
        </w:rPr>
        <w:t xml:space="preserve"> </w:t>
      </w:r>
      <w:r w:rsidR="0068546B" w:rsidRPr="00575624">
        <w:rPr>
          <w:sz w:val="21"/>
          <w:szCs w:val="21"/>
          <w:lang w:val="en-MY"/>
        </w:rPr>
        <w:t>consistent with those adopted for the audited financial statements for the financial year ended 31 January 2013.</w:t>
      </w:r>
      <w:r w:rsidR="002E7E11" w:rsidRPr="00575624">
        <w:rPr>
          <w:sz w:val="21"/>
          <w:szCs w:val="21"/>
          <w:lang w:val="en-MY"/>
        </w:rPr>
        <w:t xml:space="preserve"> </w:t>
      </w:r>
      <w:r w:rsidR="0068546B" w:rsidRPr="00575624">
        <w:rPr>
          <w:sz w:val="21"/>
          <w:szCs w:val="21"/>
          <w:lang w:val="en-MY"/>
        </w:rPr>
        <w:t>The adoption of the following MFRSs and Amendments to MFRSs that came into effect on 1 February 2013 did</w:t>
      </w:r>
      <w:r w:rsidR="00221433" w:rsidRPr="00575624">
        <w:rPr>
          <w:sz w:val="21"/>
          <w:szCs w:val="21"/>
          <w:lang w:val="en-MY"/>
        </w:rPr>
        <w:t xml:space="preserve"> </w:t>
      </w:r>
      <w:r w:rsidR="0068546B" w:rsidRPr="00575624">
        <w:rPr>
          <w:sz w:val="21"/>
          <w:szCs w:val="21"/>
          <w:lang w:val="en-MY"/>
        </w:rPr>
        <w:t>not have any significant impact on the unaudited condensed consolidated financial statements upon their initial</w:t>
      </w:r>
      <w:r w:rsidR="00221433" w:rsidRPr="00575624">
        <w:rPr>
          <w:sz w:val="21"/>
          <w:szCs w:val="21"/>
          <w:lang w:val="en-MY"/>
        </w:rPr>
        <w:t xml:space="preserve"> </w:t>
      </w:r>
      <w:r w:rsidR="0068546B" w:rsidRPr="00575624">
        <w:rPr>
          <w:sz w:val="21"/>
          <w:szCs w:val="21"/>
          <w:lang w:val="en-MY"/>
        </w:rPr>
        <w:t>application.</w:t>
      </w:r>
    </w:p>
    <w:p w:rsidR="0068546B" w:rsidRPr="00575624" w:rsidRDefault="0068546B" w:rsidP="00D91166">
      <w:pPr>
        <w:pStyle w:val="Default"/>
        <w:ind w:left="567"/>
        <w:jc w:val="both"/>
        <w:rPr>
          <w:rFonts w:ascii="Times New Roman" w:hAnsi="Times New Roman" w:cs="Times New Roman"/>
          <w:sz w:val="21"/>
          <w:szCs w:val="21"/>
        </w:rPr>
      </w:pPr>
    </w:p>
    <w:p w:rsidR="0068546B" w:rsidRPr="00575624" w:rsidRDefault="0068546B" w:rsidP="00C47924">
      <w:pPr>
        <w:pStyle w:val="ListParagraph"/>
        <w:numPr>
          <w:ilvl w:val="0"/>
          <w:numId w:val="6"/>
        </w:numPr>
        <w:ind w:left="1134" w:hanging="567"/>
        <w:jc w:val="both"/>
        <w:rPr>
          <w:sz w:val="21"/>
          <w:szCs w:val="21"/>
          <w:lang w:val="en-MY"/>
        </w:rPr>
      </w:pPr>
      <w:r w:rsidRPr="00575624">
        <w:rPr>
          <w:sz w:val="21"/>
          <w:szCs w:val="21"/>
          <w:lang w:val="en-MY"/>
        </w:rPr>
        <w:t>MFRS 10 Consolidated Financial Statements (effective from 1 January 2013)</w:t>
      </w:r>
    </w:p>
    <w:p w:rsidR="0068546B" w:rsidRPr="00575624" w:rsidRDefault="0068546B" w:rsidP="00C47924">
      <w:pPr>
        <w:pStyle w:val="ListParagraph"/>
        <w:numPr>
          <w:ilvl w:val="0"/>
          <w:numId w:val="6"/>
        </w:numPr>
        <w:ind w:left="1134" w:hanging="567"/>
        <w:jc w:val="both"/>
        <w:rPr>
          <w:sz w:val="21"/>
          <w:szCs w:val="21"/>
          <w:lang w:val="en-MY"/>
        </w:rPr>
      </w:pPr>
      <w:r w:rsidRPr="00575624">
        <w:rPr>
          <w:sz w:val="21"/>
          <w:szCs w:val="21"/>
          <w:lang w:val="en-MY"/>
        </w:rPr>
        <w:t>MFRS 12 Disclosure of Interests in Other Entities (effective from 1 January 2013)</w:t>
      </w:r>
    </w:p>
    <w:p w:rsidR="0068546B" w:rsidRPr="00575624" w:rsidRDefault="0068546B" w:rsidP="00C47924">
      <w:pPr>
        <w:pStyle w:val="ListParagraph"/>
        <w:numPr>
          <w:ilvl w:val="0"/>
          <w:numId w:val="6"/>
        </w:numPr>
        <w:ind w:left="1134" w:hanging="567"/>
        <w:jc w:val="both"/>
        <w:rPr>
          <w:sz w:val="21"/>
          <w:szCs w:val="21"/>
          <w:lang w:val="en-MY"/>
        </w:rPr>
      </w:pPr>
      <w:r w:rsidRPr="00575624">
        <w:rPr>
          <w:sz w:val="21"/>
          <w:szCs w:val="21"/>
          <w:lang w:val="en-MY"/>
        </w:rPr>
        <w:t>MFRS 13 Fair Value Measurement (effective from 1 January 2013)</w:t>
      </w:r>
    </w:p>
    <w:p w:rsidR="00E54BE6" w:rsidRPr="00575624" w:rsidRDefault="0068546B" w:rsidP="00E54BE6">
      <w:pPr>
        <w:pStyle w:val="ListParagraph"/>
        <w:numPr>
          <w:ilvl w:val="0"/>
          <w:numId w:val="6"/>
        </w:numPr>
        <w:ind w:left="1134" w:hanging="567"/>
        <w:jc w:val="both"/>
        <w:rPr>
          <w:sz w:val="21"/>
          <w:szCs w:val="21"/>
          <w:lang w:val="en-MY"/>
        </w:rPr>
      </w:pPr>
      <w:r w:rsidRPr="00575624">
        <w:rPr>
          <w:sz w:val="21"/>
          <w:szCs w:val="21"/>
          <w:lang w:val="en-MY"/>
        </w:rPr>
        <w:t>MFRS 119 Employee Benefits (effective from 1 January 2013)</w:t>
      </w:r>
    </w:p>
    <w:p w:rsidR="00E54BE6" w:rsidRPr="00575624" w:rsidRDefault="0068546B" w:rsidP="00E54BE6">
      <w:pPr>
        <w:pStyle w:val="ListParagraph"/>
        <w:numPr>
          <w:ilvl w:val="0"/>
          <w:numId w:val="6"/>
        </w:numPr>
        <w:ind w:left="1134" w:hanging="567"/>
        <w:jc w:val="both"/>
        <w:rPr>
          <w:sz w:val="21"/>
          <w:szCs w:val="21"/>
          <w:lang w:val="en-MY"/>
        </w:rPr>
      </w:pPr>
      <w:r w:rsidRPr="00575624">
        <w:rPr>
          <w:sz w:val="21"/>
          <w:szCs w:val="21"/>
          <w:lang w:val="en-MY"/>
        </w:rPr>
        <w:t>MFRS 127 Separate Financial Statements (effective from 1 January 2013)</w:t>
      </w:r>
      <w:r w:rsidR="00E54BE6" w:rsidRPr="00575624">
        <w:rPr>
          <w:sz w:val="21"/>
          <w:szCs w:val="21"/>
          <w:lang w:val="en-MY" w:eastAsia="en-MY"/>
        </w:rPr>
        <w:t xml:space="preserve"> </w:t>
      </w:r>
    </w:p>
    <w:p w:rsidR="0068546B" w:rsidRPr="00575624" w:rsidRDefault="00E54BE6" w:rsidP="00E54BE6">
      <w:pPr>
        <w:pStyle w:val="ListParagraph"/>
        <w:numPr>
          <w:ilvl w:val="0"/>
          <w:numId w:val="6"/>
        </w:numPr>
        <w:ind w:left="1134" w:hanging="567"/>
        <w:jc w:val="both"/>
        <w:rPr>
          <w:sz w:val="21"/>
          <w:szCs w:val="21"/>
          <w:lang w:val="en-MY"/>
        </w:rPr>
      </w:pPr>
      <w:r w:rsidRPr="00575624">
        <w:rPr>
          <w:sz w:val="21"/>
          <w:szCs w:val="21"/>
          <w:lang w:val="en-MY" w:eastAsia="en-MY"/>
        </w:rPr>
        <w:t>MFRS 128 Investments in Associates and Joint Ventures (effective from 1 January 2013)</w:t>
      </w:r>
    </w:p>
    <w:p w:rsidR="0068546B" w:rsidRPr="00575624" w:rsidRDefault="0068546B" w:rsidP="00C47924">
      <w:pPr>
        <w:pStyle w:val="ListParagraph"/>
        <w:numPr>
          <w:ilvl w:val="0"/>
          <w:numId w:val="6"/>
        </w:numPr>
        <w:ind w:left="1134" w:hanging="567"/>
        <w:jc w:val="both"/>
        <w:rPr>
          <w:sz w:val="21"/>
          <w:szCs w:val="21"/>
          <w:lang w:val="en-MY"/>
        </w:rPr>
      </w:pPr>
      <w:r w:rsidRPr="00575624">
        <w:rPr>
          <w:sz w:val="21"/>
          <w:szCs w:val="21"/>
          <w:lang w:val="en-MY"/>
        </w:rPr>
        <w:t>Amendments to MFRS 7 Financial Instruments: Disclosures (effective from 1 January 2013)</w:t>
      </w:r>
    </w:p>
    <w:p w:rsidR="0068546B" w:rsidRPr="00575624" w:rsidRDefault="0068546B" w:rsidP="00C47924">
      <w:pPr>
        <w:pStyle w:val="ListParagraph"/>
        <w:numPr>
          <w:ilvl w:val="0"/>
          <w:numId w:val="6"/>
        </w:numPr>
        <w:ind w:left="1134" w:hanging="567"/>
        <w:jc w:val="both"/>
        <w:rPr>
          <w:sz w:val="21"/>
          <w:szCs w:val="21"/>
          <w:lang w:val="en-MY"/>
        </w:rPr>
      </w:pPr>
      <w:r w:rsidRPr="00575624">
        <w:rPr>
          <w:sz w:val="21"/>
          <w:szCs w:val="21"/>
          <w:lang w:val="en-MY"/>
        </w:rPr>
        <w:t>Amendments to MFRS 101 Presentation of Items of Other Comprehensive Income (effective from 1 July</w:t>
      </w:r>
      <w:r w:rsidR="00221433" w:rsidRPr="00575624">
        <w:rPr>
          <w:sz w:val="21"/>
          <w:szCs w:val="21"/>
          <w:lang w:val="en-MY"/>
        </w:rPr>
        <w:t xml:space="preserve"> </w:t>
      </w:r>
      <w:r w:rsidRPr="00575624">
        <w:rPr>
          <w:sz w:val="21"/>
          <w:szCs w:val="21"/>
          <w:lang w:val="en-MY"/>
        </w:rPr>
        <w:t>2012)</w:t>
      </w:r>
    </w:p>
    <w:p w:rsidR="0068546B" w:rsidRPr="00575624" w:rsidRDefault="0068546B" w:rsidP="00C47924">
      <w:pPr>
        <w:pStyle w:val="ListParagraph"/>
        <w:numPr>
          <w:ilvl w:val="0"/>
          <w:numId w:val="6"/>
        </w:numPr>
        <w:ind w:left="1134" w:hanging="567"/>
        <w:jc w:val="both"/>
        <w:rPr>
          <w:sz w:val="21"/>
          <w:szCs w:val="21"/>
          <w:lang w:val="en-MY"/>
        </w:rPr>
      </w:pPr>
      <w:r w:rsidRPr="00575624">
        <w:rPr>
          <w:sz w:val="21"/>
          <w:szCs w:val="21"/>
          <w:lang w:val="en-MY"/>
        </w:rPr>
        <w:t>Annual Improvements to MFRS 2009 – 2011 Cycle (effective from 1 January 2013)</w:t>
      </w:r>
    </w:p>
    <w:p w:rsidR="00E54BE6" w:rsidRPr="00575624" w:rsidRDefault="0068546B" w:rsidP="00C47924">
      <w:pPr>
        <w:pStyle w:val="ListParagraph"/>
        <w:numPr>
          <w:ilvl w:val="0"/>
          <w:numId w:val="6"/>
        </w:numPr>
        <w:ind w:left="1134" w:hanging="567"/>
        <w:jc w:val="both"/>
        <w:rPr>
          <w:sz w:val="21"/>
          <w:szCs w:val="21"/>
          <w:lang w:val="en-MY"/>
        </w:rPr>
      </w:pPr>
      <w:r w:rsidRPr="00575624">
        <w:rPr>
          <w:sz w:val="21"/>
          <w:szCs w:val="21"/>
          <w:lang w:val="en-MY"/>
        </w:rPr>
        <w:t>Amendments to MFRS 10, 11 and 12 Consolidated Financial Statements, Joint Arrangements and</w:t>
      </w:r>
    </w:p>
    <w:p w:rsidR="00E54BE6" w:rsidRPr="00575624" w:rsidRDefault="0068546B" w:rsidP="00614761">
      <w:pPr>
        <w:pStyle w:val="ListParagraph"/>
        <w:ind w:left="1134"/>
        <w:jc w:val="both"/>
        <w:rPr>
          <w:sz w:val="21"/>
          <w:szCs w:val="21"/>
          <w:lang w:val="en-MY"/>
        </w:rPr>
      </w:pPr>
      <w:r w:rsidRPr="00575624">
        <w:rPr>
          <w:sz w:val="21"/>
          <w:szCs w:val="21"/>
          <w:lang w:val="en-MY"/>
        </w:rPr>
        <w:t>Disclosure of Interests in Other Entities: Transition Guidance (effective from 1 January 2013)</w:t>
      </w:r>
    </w:p>
    <w:p w:rsidR="00E54BE6" w:rsidRPr="00575624" w:rsidRDefault="00E54BE6" w:rsidP="00E54BE6">
      <w:pPr>
        <w:pStyle w:val="ListParagraph"/>
        <w:numPr>
          <w:ilvl w:val="0"/>
          <w:numId w:val="6"/>
        </w:numPr>
        <w:ind w:left="1134" w:hanging="567"/>
        <w:jc w:val="both"/>
        <w:rPr>
          <w:sz w:val="21"/>
          <w:szCs w:val="21"/>
          <w:lang w:val="en-MY"/>
        </w:rPr>
      </w:pPr>
      <w:r w:rsidRPr="00575624">
        <w:rPr>
          <w:sz w:val="21"/>
          <w:szCs w:val="21"/>
          <w:lang w:val="en-MY" w:eastAsia="en-MY"/>
        </w:rPr>
        <w:t>Amendments to MFRS 134 Interim Financial Reporting (effective from 1 January 2013)</w:t>
      </w:r>
    </w:p>
    <w:p w:rsidR="0068546B" w:rsidRPr="00575624" w:rsidRDefault="00E54BE6" w:rsidP="00E54BE6">
      <w:pPr>
        <w:ind w:left="567"/>
        <w:jc w:val="both"/>
        <w:rPr>
          <w:sz w:val="21"/>
          <w:szCs w:val="21"/>
          <w:lang w:val="en-MY"/>
        </w:rPr>
      </w:pPr>
      <w:r w:rsidRPr="00575624">
        <w:rPr>
          <w:sz w:val="21"/>
          <w:szCs w:val="21"/>
          <w:lang w:val="en-MY" w:eastAsia="en-MY"/>
        </w:rPr>
        <w:t xml:space="preserve"> </w:t>
      </w:r>
    </w:p>
    <w:p w:rsidR="0068546B" w:rsidRPr="00575624" w:rsidRDefault="0068546B" w:rsidP="0068546B">
      <w:pPr>
        <w:ind w:left="567"/>
        <w:jc w:val="both"/>
        <w:rPr>
          <w:b/>
          <w:sz w:val="21"/>
          <w:szCs w:val="21"/>
          <w:lang w:val="en-MY"/>
        </w:rPr>
      </w:pPr>
      <w:r w:rsidRPr="00575624">
        <w:rPr>
          <w:b/>
          <w:sz w:val="21"/>
          <w:szCs w:val="21"/>
          <w:lang w:val="en-MY"/>
        </w:rPr>
        <w:t>MFRSs and Amendments to MFRSs that is applicable to the Group but not yet effective</w:t>
      </w:r>
    </w:p>
    <w:p w:rsidR="0068546B" w:rsidRPr="00575624" w:rsidRDefault="0068546B" w:rsidP="0068546B">
      <w:pPr>
        <w:ind w:left="567"/>
        <w:jc w:val="both"/>
        <w:rPr>
          <w:sz w:val="21"/>
          <w:szCs w:val="21"/>
          <w:lang w:val="en-MY"/>
        </w:rPr>
      </w:pPr>
    </w:p>
    <w:p w:rsidR="0068546B" w:rsidRPr="00575624" w:rsidRDefault="0068546B" w:rsidP="0068546B">
      <w:pPr>
        <w:ind w:left="567"/>
        <w:jc w:val="both"/>
        <w:rPr>
          <w:sz w:val="21"/>
          <w:szCs w:val="21"/>
          <w:lang w:val="en-MY"/>
        </w:rPr>
      </w:pPr>
      <w:r w:rsidRPr="00575624">
        <w:rPr>
          <w:sz w:val="21"/>
          <w:szCs w:val="21"/>
          <w:lang w:val="en-MY"/>
        </w:rPr>
        <w:t xml:space="preserve">The Group has not </w:t>
      </w:r>
      <w:r w:rsidR="00DA7359" w:rsidRPr="00575624">
        <w:rPr>
          <w:sz w:val="21"/>
          <w:szCs w:val="21"/>
          <w:lang w:val="en-MY"/>
        </w:rPr>
        <w:t xml:space="preserve">early </w:t>
      </w:r>
      <w:r w:rsidRPr="00575624">
        <w:rPr>
          <w:sz w:val="21"/>
          <w:szCs w:val="21"/>
          <w:lang w:val="en-MY"/>
        </w:rPr>
        <w:t>adopted the following accounting standards that have been issued by the Malaysian</w:t>
      </w:r>
      <w:r w:rsidR="00221433" w:rsidRPr="00575624">
        <w:rPr>
          <w:sz w:val="21"/>
          <w:szCs w:val="21"/>
          <w:lang w:val="en-MY"/>
        </w:rPr>
        <w:t xml:space="preserve"> </w:t>
      </w:r>
      <w:r w:rsidRPr="00575624">
        <w:rPr>
          <w:sz w:val="21"/>
          <w:szCs w:val="21"/>
          <w:lang w:val="en-MY"/>
        </w:rPr>
        <w:t>Accounting Standards Board (“MASB”) as these are effective for the financial</w:t>
      </w:r>
      <w:r w:rsidR="0053674E" w:rsidRPr="00575624">
        <w:rPr>
          <w:sz w:val="21"/>
          <w:szCs w:val="21"/>
          <w:lang w:val="en-MY"/>
        </w:rPr>
        <w:t xml:space="preserve"> periods beginning on or after 1 </w:t>
      </w:r>
      <w:r w:rsidRPr="00575624">
        <w:rPr>
          <w:sz w:val="21"/>
          <w:szCs w:val="21"/>
          <w:lang w:val="en-MY"/>
        </w:rPr>
        <w:t>February 2014:</w:t>
      </w:r>
    </w:p>
    <w:p w:rsidR="00614761" w:rsidRPr="00575624" w:rsidRDefault="00614761" w:rsidP="0068546B">
      <w:pPr>
        <w:ind w:left="567"/>
        <w:jc w:val="both"/>
        <w:rPr>
          <w:sz w:val="21"/>
          <w:szCs w:val="21"/>
          <w:lang w:val="en-MY"/>
        </w:rPr>
      </w:pPr>
    </w:p>
    <w:p w:rsidR="0068546B" w:rsidRPr="00575624" w:rsidRDefault="0068546B" w:rsidP="00C47924">
      <w:pPr>
        <w:pStyle w:val="ListParagraph"/>
        <w:numPr>
          <w:ilvl w:val="0"/>
          <w:numId w:val="7"/>
        </w:numPr>
        <w:ind w:left="1134" w:hanging="567"/>
        <w:jc w:val="both"/>
        <w:rPr>
          <w:sz w:val="21"/>
          <w:szCs w:val="21"/>
          <w:lang w:val="en-MY"/>
        </w:rPr>
      </w:pPr>
      <w:r w:rsidRPr="00575624">
        <w:rPr>
          <w:sz w:val="21"/>
          <w:szCs w:val="21"/>
          <w:lang w:val="en-MY"/>
        </w:rPr>
        <w:t>MFRS 9 Financial Instruments</w:t>
      </w:r>
      <w:r w:rsidR="009D102E" w:rsidRPr="00575624">
        <w:rPr>
          <w:sz w:val="21"/>
          <w:szCs w:val="21"/>
          <w:lang w:val="en-MY"/>
        </w:rPr>
        <w:t xml:space="preserve"> (effective from 1 January 2015)</w:t>
      </w:r>
    </w:p>
    <w:p w:rsidR="009D102E" w:rsidRPr="00575624" w:rsidRDefault="009D102E" w:rsidP="00C47924">
      <w:pPr>
        <w:pStyle w:val="ListParagraph"/>
        <w:numPr>
          <w:ilvl w:val="0"/>
          <w:numId w:val="7"/>
        </w:numPr>
        <w:ind w:left="1134" w:hanging="567"/>
        <w:jc w:val="both"/>
        <w:rPr>
          <w:sz w:val="21"/>
          <w:szCs w:val="21"/>
          <w:lang w:val="en-MY"/>
        </w:rPr>
      </w:pPr>
      <w:r w:rsidRPr="00575624">
        <w:rPr>
          <w:sz w:val="21"/>
          <w:szCs w:val="21"/>
          <w:lang w:val="en-MY"/>
        </w:rPr>
        <w:t>Amendments to MFRS 10, 1</w:t>
      </w:r>
      <w:r w:rsidR="00E04D19" w:rsidRPr="00575624">
        <w:rPr>
          <w:sz w:val="21"/>
          <w:szCs w:val="21"/>
          <w:lang w:val="en-MY"/>
        </w:rPr>
        <w:t>2</w:t>
      </w:r>
      <w:r w:rsidRPr="00575624">
        <w:rPr>
          <w:sz w:val="21"/>
          <w:szCs w:val="21"/>
          <w:lang w:val="en-MY"/>
        </w:rPr>
        <w:t xml:space="preserve"> and 127 Investment Entities (effective from 1 February 2014)</w:t>
      </w:r>
    </w:p>
    <w:p w:rsidR="00EC066E" w:rsidRPr="00575624" w:rsidRDefault="0068546B" w:rsidP="00C47924">
      <w:pPr>
        <w:pStyle w:val="ListParagraph"/>
        <w:numPr>
          <w:ilvl w:val="0"/>
          <w:numId w:val="7"/>
        </w:numPr>
        <w:ind w:left="1134" w:hanging="567"/>
        <w:jc w:val="both"/>
        <w:rPr>
          <w:sz w:val="21"/>
          <w:szCs w:val="21"/>
        </w:rPr>
      </w:pPr>
      <w:r w:rsidRPr="00575624">
        <w:rPr>
          <w:sz w:val="21"/>
          <w:szCs w:val="21"/>
          <w:lang w:val="en-MY"/>
        </w:rPr>
        <w:t>Amendments to MFRS 132 Offsetting Financial Assets and Financial Liabilities</w:t>
      </w:r>
      <w:r w:rsidR="009D102E" w:rsidRPr="00575624">
        <w:rPr>
          <w:sz w:val="21"/>
          <w:szCs w:val="21"/>
          <w:lang w:val="en-MY"/>
        </w:rPr>
        <w:t xml:space="preserve"> (effective from 1 January 2014)</w:t>
      </w:r>
    </w:p>
    <w:p w:rsidR="004A5C48" w:rsidRPr="00575624" w:rsidRDefault="004A5C48" w:rsidP="00E7531F">
      <w:pPr>
        <w:pStyle w:val="Default"/>
        <w:jc w:val="both"/>
        <w:rPr>
          <w:rFonts w:ascii="Times New Roman" w:hAnsi="Times New Roman" w:cs="Times New Roman"/>
          <w:sz w:val="21"/>
          <w:szCs w:val="21"/>
        </w:rPr>
      </w:pPr>
      <w:bookmarkStart w:id="0" w:name="_MON_1401793175"/>
      <w:bookmarkStart w:id="1" w:name="_MON_1401793375"/>
      <w:bookmarkStart w:id="2" w:name="_MON_1401793414"/>
      <w:bookmarkStart w:id="3" w:name="_MON_1401798700"/>
      <w:bookmarkStart w:id="4" w:name="_MON_1401264326"/>
      <w:bookmarkStart w:id="5" w:name="_MON_1401264338"/>
      <w:bookmarkStart w:id="6" w:name="_MON_1401264352"/>
      <w:bookmarkStart w:id="7" w:name="_MON_1401265115"/>
      <w:bookmarkStart w:id="8" w:name="_MON_1401260491"/>
      <w:bookmarkStart w:id="9" w:name="_MON_1409993190"/>
      <w:bookmarkStart w:id="10" w:name="_MON_1401260611"/>
      <w:bookmarkStart w:id="11" w:name="_MON_1401260858"/>
      <w:bookmarkStart w:id="12" w:name="_MON_1410016343"/>
      <w:bookmarkStart w:id="13" w:name="_MON_1401260882"/>
      <w:bookmarkStart w:id="14" w:name="_MON_1401261095"/>
      <w:bookmarkStart w:id="15" w:name="_MON_1402483704"/>
      <w:bookmarkStart w:id="16" w:name="_MON_1401262000"/>
      <w:bookmarkStart w:id="17" w:name="_MON_1401262016"/>
      <w:bookmarkStart w:id="18" w:name="_MON_1409474532"/>
      <w:bookmarkStart w:id="19" w:name="_MON_1409474645"/>
      <w:bookmarkStart w:id="20" w:name="_MON_1409474694"/>
      <w:bookmarkStart w:id="21" w:name="_MON_1401262025"/>
      <w:bookmarkStart w:id="22" w:name="_MON_1401263696"/>
      <w:bookmarkStart w:id="23" w:name="_MON_1401263711"/>
      <w:bookmarkStart w:id="24" w:name="_MON_1401263733"/>
      <w:bookmarkStart w:id="25" w:name="_MON_1401263761"/>
      <w:bookmarkStart w:id="26" w:name="_MON_1401263838"/>
      <w:bookmarkStart w:id="27" w:name="_MON_1401263854"/>
      <w:bookmarkStart w:id="28" w:name="_MON_1401263916"/>
      <w:bookmarkStart w:id="29" w:name="_MON_1401264069"/>
      <w:bookmarkStart w:id="30" w:name="_MON_1401264082"/>
      <w:bookmarkStart w:id="31" w:name="_MON_1401264117"/>
      <w:bookmarkStart w:id="32" w:name="_MON_1401264137"/>
      <w:bookmarkStart w:id="33" w:name="_MON_1401264667"/>
      <w:bookmarkStart w:id="34" w:name="_MON_1401265479"/>
      <w:bookmarkStart w:id="35" w:name="_MON_1401265513"/>
      <w:bookmarkStart w:id="36" w:name="_MON_1401265677"/>
      <w:bookmarkStart w:id="37" w:name="_MON_1401265696"/>
      <w:bookmarkStart w:id="38" w:name="_MON_1401265705"/>
      <w:bookmarkStart w:id="39" w:name="_MON_1401265795"/>
      <w:bookmarkStart w:id="40" w:name="_MON_1401265833"/>
      <w:bookmarkStart w:id="41" w:name="_MON_1401265853"/>
      <w:bookmarkStart w:id="42" w:name="_MON_1401263338"/>
      <w:bookmarkStart w:id="43" w:name="_MON_1401263351"/>
      <w:bookmarkStart w:id="44" w:name="_MON_1401263363"/>
      <w:bookmarkStart w:id="45" w:name="_MON_1401263530"/>
      <w:bookmarkStart w:id="46" w:name="_MON_1401263633"/>
      <w:bookmarkStart w:id="47" w:name="_MON_1401263644"/>
      <w:bookmarkStart w:id="48" w:name="_MON_140126365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101561" w:rsidRPr="00575624" w:rsidRDefault="009922BD" w:rsidP="00C47924">
      <w:pPr>
        <w:pStyle w:val="BodyTextIndent"/>
        <w:numPr>
          <w:ilvl w:val="0"/>
          <w:numId w:val="3"/>
        </w:numPr>
        <w:tabs>
          <w:tab w:val="clear" w:pos="360"/>
          <w:tab w:val="left" w:pos="567"/>
        </w:tabs>
        <w:ind w:left="567" w:hanging="567"/>
        <w:jc w:val="both"/>
        <w:rPr>
          <w:b/>
          <w:sz w:val="21"/>
          <w:szCs w:val="21"/>
        </w:rPr>
      </w:pPr>
      <w:r w:rsidRPr="00575624">
        <w:rPr>
          <w:b/>
          <w:sz w:val="21"/>
          <w:szCs w:val="21"/>
        </w:rPr>
        <w:t>Seasonal or Cyclical Factors</w:t>
      </w:r>
    </w:p>
    <w:p w:rsidR="009922BD" w:rsidRPr="00575624" w:rsidRDefault="009922BD" w:rsidP="00DB667A">
      <w:pPr>
        <w:tabs>
          <w:tab w:val="left" w:pos="567"/>
        </w:tabs>
        <w:ind w:left="567" w:hanging="567"/>
        <w:jc w:val="both"/>
        <w:rPr>
          <w:b/>
          <w:sz w:val="21"/>
          <w:szCs w:val="21"/>
        </w:rPr>
      </w:pPr>
    </w:p>
    <w:p w:rsidR="009922BD" w:rsidRPr="00575624" w:rsidRDefault="009922BD" w:rsidP="00DB667A">
      <w:pPr>
        <w:tabs>
          <w:tab w:val="left" w:pos="567"/>
        </w:tabs>
        <w:ind w:left="567"/>
        <w:jc w:val="both"/>
        <w:rPr>
          <w:sz w:val="21"/>
          <w:szCs w:val="21"/>
        </w:rPr>
      </w:pPr>
      <w:r w:rsidRPr="00575624">
        <w:rPr>
          <w:sz w:val="21"/>
          <w:szCs w:val="21"/>
        </w:rPr>
        <w:t xml:space="preserve">The Group’s transport operations are generally affected by major festivals that occur in the first and third quarter of the financial year as there were fewer working days. </w:t>
      </w:r>
    </w:p>
    <w:p w:rsidR="00764120" w:rsidRPr="00575624" w:rsidRDefault="00764120" w:rsidP="00764120">
      <w:pPr>
        <w:tabs>
          <w:tab w:val="left" w:pos="567"/>
        </w:tabs>
        <w:ind w:left="567" w:hanging="567"/>
        <w:jc w:val="both"/>
        <w:rPr>
          <w:sz w:val="21"/>
          <w:szCs w:val="21"/>
        </w:rPr>
      </w:pPr>
    </w:p>
    <w:p w:rsidR="00764120" w:rsidRPr="00575624" w:rsidRDefault="00764120" w:rsidP="00C47924">
      <w:pPr>
        <w:numPr>
          <w:ilvl w:val="0"/>
          <w:numId w:val="3"/>
        </w:numPr>
        <w:tabs>
          <w:tab w:val="left" w:pos="567"/>
        </w:tabs>
        <w:ind w:hanging="720"/>
        <w:jc w:val="both"/>
        <w:rPr>
          <w:b/>
          <w:sz w:val="21"/>
          <w:szCs w:val="21"/>
        </w:rPr>
      </w:pPr>
      <w:r w:rsidRPr="00575624">
        <w:rPr>
          <w:b/>
          <w:sz w:val="21"/>
          <w:szCs w:val="21"/>
        </w:rPr>
        <w:t>Unusual Items due to their Nature, Size or Incidence</w:t>
      </w:r>
    </w:p>
    <w:p w:rsidR="00764120" w:rsidRPr="00575624" w:rsidRDefault="00764120" w:rsidP="00764120">
      <w:pPr>
        <w:tabs>
          <w:tab w:val="left" w:pos="567"/>
        </w:tabs>
        <w:ind w:left="567" w:hanging="567"/>
        <w:jc w:val="both"/>
        <w:rPr>
          <w:b/>
          <w:sz w:val="21"/>
          <w:szCs w:val="21"/>
        </w:rPr>
      </w:pPr>
    </w:p>
    <w:p w:rsidR="00764120" w:rsidRPr="00575624" w:rsidRDefault="00764120" w:rsidP="00764120">
      <w:pPr>
        <w:tabs>
          <w:tab w:val="left" w:pos="567"/>
        </w:tabs>
        <w:ind w:left="567"/>
        <w:jc w:val="both"/>
        <w:rPr>
          <w:sz w:val="21"/>
          <w:szCs w:val="21"/>
        </w:rPr>
      </w:pPr>
      <w:r w:rsidRPr="00575624">
        <w:rPr>
          <w:sz w:val="21"/>
          <w:szCs w:val="21"/>
        </w:rPr>
        <w:t>There were no unusual items affecting assets, liabilities, equity, net income or cash flows during the current quarter and financial year to-date.</w:t>
      </w:r>
    </w:p>
    <w:p w:rsidR="00764120" w:rsidRDefault="00764120" w:rsidP="00764120">
      <w:pPr>
        <w:tabs>
          <w:tab w:val="left" w:pos="567"/>
        </w:tabs>
        <w:ind w:left="567"/>
        <w:jc w:val="both"/>
        <w:rPr>
          <w:sz w:val="21"/>
          <w:szCs w:val="21"/>
        </w:rPr>
      </w:pPr>
    </w:p>
    <w:p w:rsidR="00575624" w:rsidRPr="00575624" w:rsidRDefault="00575624" w:rsidP="00764120">
      <w:pPr>
        <w:tabs>
          <w:tab w:val="left" w:pos="567"/>
        </w:tabs>
        <w:ind w:left="567"/>
        <w:jc w:val="both"/>
        <w:rPr>
          <w:sz w:val="21"/>
          <w:szCs w:val="21"/>
        </w:rPr>
      </w:pPr>
    </w:p>
    <w:p w:rsidR="00764120" w:rsidRPr="00575624" w:rsidRDefault="00764120" w:rsidP="00C47924">
      <w:pPr>
        <w:pStyle w:val="Heading3"/>
        <w:numPr>
          <w:ilvl w:val="0"/>
          <w:numId w:val="3"/>
        </w:numPr>
        <w:tabs>
          <w:tab w:val="left" w:pos="567"/>
        </w:tabs>
        <w:ind w:hanging="720"/>
        <w:rPr>
          <w:sz w:val="21"/>
          <w:szCs w:val="21"/>
        </w:rPr>
      </w:pPr>
      <w:r w:rsidRPr="00575624">
        <w:rPr>
          <w:sz w:val="21"/>
          <w:szCs w:val="21"/>
        </w:rPr>
        <w:lastRenderedPageBreak/>
        <w:t>Changes in Accounting Estimate</w:t>
      </w:r>
    </w:p>
    <w:p w:rsidR="00764120" w:rsidRPr="00575624" w:rsidRDefault="00764120" w:rsidP="00764120">
      <w:pPr>
        <w:tabs>
          <w:tab w:val="left" w:pos="567"/>
        </w:tabs>
        <w:ind w:left="567" w:hanging="567"/>
        <w:rPr>
          <w:sz w:val="21"/>
          <w:szCs w:val="21"/>
        </w:rPr>
      </w:pPr>
    </w:p>
    <w:p w:rsidR="00711E9B" w:rsidRDefault="00AA66D6" w:rsidP="004B7DCA">
      <w:pPr>
        <w:tabs>
          <w:tab w:val="left" w:pos="567"/>
        </w:tabs>
        <w:ind w:left="567"/>
        <w:jc w:val="both"/>
        <w:rPr>
          <w:sz w:val="21"/>
          <w:szCs w:val="21"/>
        </w:rPr>
      </w:pPr>
      <w:r w:rsidRPr="00575624">
        <w:rPr>
          <w:sz w:val="21"/>
          <w:szCs w:val="21"/>
        </w:rPr>
        <w:t>There were no material changes in accounting estimates during the period under review that would have a material effect that would substantially affect the results of the Group.</w:t>
      </w:r>
    </w:p>
    <w:p w:rsidR="00575624" w:rsidRPr="00575624" w:rsidRDefault="00575624" w:rsidP="004B7DCA">
      <w:pPr>
        <w:tabs>
          <w:tab w:val="left" w:pos="567"/>
        </w:tabs>
        <w:ind w:left="567"/>
        <w:jc w:val="both"/>
        <w:rPr>
          <w:sz w:val="21"/>
          <w:szCs w:val="21"/>
        </w:rPr>
      </w:pPr>
    </w:p>
    <w:p w:rsidR="000707A8" w:rsidRPr="00575624" w:rsidRDefault="00466D7D" w:rsidP="00711E9B">
      <w:pPr>
        <w:pStyle w:val="Heading3"/>
        <w:numPr>
          <w:ilvl w:val="0"/>
          <w:numId w:val="3"/>
        </w:numPr>
        <w:tabs>
          <w:tab w:val="left" w:pos="567"/>
        </w:tabs>
        <w:ind w:left="567" w:hanging="567"/>
        <w:rPr>
          <w:sz w:val="21"/>
          <w:szCs w:val="21"/>
        </w:rPr>
      </w:pPr>
      <w:r w:rsidRPr="00575624">
        <w:rPr>
          <w:sz w:val="21"/>
          <w:szCs w:val="21"/>
        </w:rPr>
        <w:t>Changes in the Composition of the Group</w:t>
      </w:r>
    </w:p>
    <w:p w:rsidR="00AA66D6" w:rsidRPr="00575624" w:rsidRDefault="00E04D19" w:rsidP="00E04D19">
      <w:pPr>
        <w:spacing w:before="100" w:beforeAutospacing="1" w:after="100" w:afterAutospacing="1"/>
        <w:ind w:left="567"/>
        <w:jc w:val="both"/>
        <w:rPr>
          <w:color w:val="000000"/>
          <w:sz w:val="21"/>
          <w:szCs w:val="21"/>
          <w:lang w:val="en-MY" w:eastAsia="en-MY"/>
        </w:rPr>
      </w:pPr>
      <w:r w:rsidRPr="00575624">
        <w:rPr>
          <w:color w:val="000000"/>
          <w:sz w:val="21"/>
          <w:szCs w:val="21"/>
          <w:lang w:val="en-MY" w:eastAsia="en-MY"/>
        </w:rPr>
        <w:t xml:space="preserve">On 28 May 2013, the Company incorporated </w:t>
      </w:r>
      <w:r w:rsidR="005D1DD9" w:rsidRPr="00575624">
        <w:rPr>
          <w:color w:val="000000"/>
          <w:sz w:val="21"/>
          <w:szCs w:val="21"/>
          <w:lang w:val="en-MY" w:eastAsia="en-MY"/>
        </w:rPr>
        <w:t>a wholly owned</w:t>
      </w:r>
      <w:r w:rsidR="00575624" w:rsidRPr="00575624">
        <w:rPr>
          <w:color w:val="000000"/>
          <w:sz w:val="21"/>
          <w:szCs w:val="21"/>
          <w:lang w:val="en-MY" w:eastAsia="en-MY"/>
        </w:rPr>
        <w:t xml:space="preserve"> </w:t>
      </w:r>
      <w:proofErr w:type="spellStart"/>
      <w:r w:rsidR="00575624" w:rsidRPr="00575624">
        <w:rPr>
          <w:color w:val="000000"/>
          <w:sz w:val="21"/>
          <w:szCs w:val="21"/>
          <w:lang w:val="en-MY" w:eastAsia="en-MY"/>
        </w:rPr>
        <w:t>subsidiary</w:t>
      </w:r>
      <w:proofErr w:type="gramStart"/>
      <w:r w:rsidR="00575624" w:rsidRPr="00575624">
        <w:rPr>
          <w:color w:val="000000"/>
          <w:sz w:val="21"/>
          <w:szCs w:val="21"/>
          <w:lang w:val="en-MY" w:eastAsia="en-MY"/>
        </w:rPr>
        <w:t>,</w:t>
      </w:r>
      <w:r w:rsidRPr="00575624">
        <w:rPr>
          <w:color w:val="000000"/>
          <w:sz w:val="21"/>
          <w:szCs w:val="21"/>
          <w:lang w:val="en-MY" w:eastAsia="en-MY"/>
        </w:rPr>
        <w:t>Yinson</w:t>
      </w:r>
      <w:proofErr w:type="spellEnd"/>
      <w:proofErr w:type="gramEnd"/>
      <w:r w:rsidRPr="00575624">
        <w:rPr>
          <w:color w:val="000000"/>
          <w:sz w:val="21"/>
          <w:szCs w:val="21"/>
          <w:lang w:val="en-MY" w:eastAsia="en-MY"/>
        </w:rPr>
        <w:t xml:space="preserve"> Production Limited</w:t>
      </w:r>
      <w:r w:rsidR="00575624" w:rsidRPr="00575624">
        <w:rPr>
          <w:color w:val="000000"/>
          <w:sz w:val="21"/>
          <w:szCs w:val="21"/>
          <w:lang w:val="en-MY" w:eastAsia="en-MY"/>
        </w:rPr>
        <w:t>,</w:t>
      </w:r>
      <w:r w:rsidRPr="00575624">
        <w:rPr>
          <w:color w:val="000000"/>
          <w:sz w:val="21"/>
          <w:szCs w:val="21"/>
          <w:lang w:val="en-MY" w:eastAsia="en-MY"/>
        </w:rPr>
        <w:t xml:space="preserve"> ("YPL") with a paid-up share capital of USD2,000.00.  The principal activities of YPL shall be investment holdings and management services. YPL has not commenced its operations.</w:t>
      </w:r>
    </w:p>
    <w:p w:rsidR="00602FB2" w:rsidRPr="00575624" w:rsidRDefault="00466D7D" w:rsidP="00C47924">
      <w:pPr>
        <w:pStyle w:val="Heading3"/>
        <w:numPr>
          <w:ilvl w:val="0"/>
          <w:numId w:val="3"/>
        </w:numPr>
        <w:tabs>
          <w:tab w:val="left" w:pos="567"/>
        </w:tabs>
        <w:ind w:left="567" w:hanging="567"/>
        <w:rPr>
          <w:sz w:val="21"/>
          <w:szCs w:val="21"/>
        </w:rPr>
      </w:pPr>
      <w:r w:rsidRPr="00575624">
        <w:rPr>
          <w:sz w:val="21"/>
          <w:szCs w:val="21"/>
        </w:rPr>
        <w:t>Segmental Information</w:t>
      </w:r>
    </w:p>
    <w:p w:rsidR="004B7DCA" w:rsidRPr="00575624" w:rsidRDefault="004B7DCA" w:rsidP="004B7DCA">
      <w:pPr>
        <w:rPr>
          <w:sz w:val="21"/>
          <w:szCs w:val="21"/>
        </w:rPr>
      </w:pPr>
    </w:p>
    <w:bookmarkStart w:id="49" w:name="_MON_1425976991"/>
    <w:bookmarkEnd w:id="49"/>
    <w:p w:rsidR="00575624" w:rsidRDefault="00F05679" w:rsidP="00EA5FAC">
      <w:pPr>
        <w:tabs>
          <w:tab w:val="left" w:pos="567"/>
        </w:tabs>
        <w:ind w:left="567" w:hanging="567"/>
        <w:rPr>
          <w:sz w:val="21"/>
          <w:szCs w:val="21"/>
        </w:rPr>
      </w:pPr>
      <w:r w:rsidRPr="00575624">
        <w:rPr>
          <w:sz w:val="21"/>
          <w:szCs w:val="21"/>
        </w:rPr>
        <w:object w:dxaOrig="9713" w:dyaOrig="6095">
          <v:shape id="_x0000_i1026" type="#_x0000_t75" style="width:484.9pt;height:303.25pt" o:ole="">
            <v:imagedata r:id="rId11" o:title=""/>
          </v:shape>
          <o:OLEObject Type="Embed" ProgID="Excel.Sheet.12" ShapeID="_x0000_i1026" DrawAspect="Content" ObjectID="_1441724956" r:id="rId12"/>
        </w:object>
      </w:r>
    </w:p>
    <w:p w:rsidR="00575624" w:rsidRDefault="00575624" w:rsidP="00EA5FAC">
      <w:pPr>
        <w:tabs>
          <w:tab w:val="left" w:pos="567"/>
        </w:tabs>
        <w:ind w:left="567" w:hanging="567"/>
        <w:rPr>
          <w:sz w:val="21"/>
          <w:szCs w:val="21"/>
        </w:rPr>
      </w:pPr>
    </w:p>
    <w:p w:rsidR="00575624" w:rsidRDefault="00575624" w:rsidP="00EA5FAC">
      <w:pPr>
        <w:tabs>
          <w:tab w:val="left" w:pos="567"/>
        </w:tabs>
        <w:ind w:left="567" w:hanging="567"/>
        <w:rPr>
          <w:sz w:val="21"/>
          <w:szCs w:val="21"/>
        </w:rPr>
      </w:pPr>
    </w:p>
    <w:p w:rsidR="00575624" w:rsidRDefault="00575624" w:rsidP="00EA5FAC">
      <w:pPr>
        <w:tabs>
          <w:tab w:val="left" w:pos="567"/>
        </w:tabs>
        <w:ind w:left="567" w:hanging="567"/>
        <w:rPr>
          <w:sz w:val="21"/>
          <w:szCs w:val="21"/>
        </w:rPr>
      </w:pPr>
    </w:p>
    <w:p w:rsidR="00575624" w:rsidRDefault="00575624" w:rsidP="00EA5FAC">
      <w:pPr>
        <w:tabs>
          <w:tab w:val="left" w:pos="567"/>
        </w:tabs>
        <w:ind w:left="567" w:hanging="567"/>
        <w:rPr>
          <w:sz w:val="21"/>
          <w:szCs w:val="21"/>
        </w:rPr>
      </w:pPr>
    </w:p>
    <w:p w:rsidR="00575624" w:rsidRDefault="00575624" w:rsidP="00EA5FAC">
      <w:pPr>
        <w:tabs>
          <w:tab w:val="left" w:pos="567"/>
        </w:tabs>
        <w:ind w:left="567" w:hanging="567"/>
        <w:rPr>
          <w:sz w:val="21"/>
          <w:szCs w:val="21"/>
        </w:rPr>
      </w:pPr>
    </w:p>
    <w:p w:rsidR="00575624" w:rsidRDefault="00575624" w:rsidP="00EA5FAC">
      <w:pPr>
        <w:tabs>
          <w:tab w:val="left" w:pos="567"/>
        </w:tabs>
        <w:ind w:left="567" w:hanging="567"/>
        <w:rPr>
          <w:sz w:val="21"/>
          <w:szCs w:val="21"/>
        </w:rPr>
      </w:pPr>
    </w:p>
    <w:p w:rsidR="00575624" w:rsidRDefault="00575624" w:rsidP="00EA5FAC">
      <w:pPr>
        <w:tabs>
          <w:tab w:val="left" w:pos="567"/>
        </w:tabs>
        <w:ind w:left="567" w:hanging="567"/>
        <w:rPr>
          <w:sz w:val="21"/>
          <w:szCs w:val="21"/>
        </w:rPr>
      </w:pPr>
    </w:p>
    <w:p w:rsidR="00575624" w:rsidRDefault="00575624" w:rsidP="00EA5FAC">
      <w:pPr>
        <w:tabs>
          <w:tab w:val="left" w:pos="567"/>
        </w:tabs>
        <w:ind w:left="567" w:hanging="567"/>
        <w:rPr>
          <w:sz w:val="21"/>
          <w:szCs w:val="21"/>
        </w:rPr>
      </w:pPr>
    </w:p>
    <w:p w:rsidR="00575624" w:rsidRDefault="00575624" w:rsidP="00EA5FAC">
      <w:pPr>
        <w:tabs>
          <w:tab w:val="left" w:pos="567"/>
        </w:tabs>
        <w:ind w:left="567" w:hanging="567"/>
        <w:rPr>
          <w:sz w:val="21"/>
          <w:szCs w:val="21"/>
        </w:rPr>
      </w:pPr>
    </w:p>
    <w:p w:rsidR="00575624" w:rsidRDefault="00575624" w:rsidP="00EA5FAC">
      <w:pPr>
        <w:tabs>
          <w:tab w:val="left" w:pos="567"/>
        </w:tabs>
        <w:ind w:left="567" w:hanging="567"/>
        <w:rPr>
          <w:sz w:val="21"/>
          <w:szCs w:val="21"/>
        </w:rPr>
      </w:pPr>
    </w:p>
    <w:p w:rsidR="00575624" w:rsidRDefault="00575624" w:rsidP="00EA5FAC">
      <w:pPr>
        <w:tabs>
          <w:tab w:val="left" w:pos="567"/>
        </w:tabs>
        <w:ind w:left="567" w:hanging="567"/>
        <w:rPr>
          <w:sz w:val="21"/>
          <w:szCs w:val="21"/>
        </w:rPr>
      </w:pPr>
    </w:p>
    <w:p w:rsidR="00575624" w:rsidRDefault="00575624" w:rsidP="00EA5FAC">
      <w:pPr>
        <w:tabs>
          <w:tab w:val="left" w:pos="567"/>
        </w:tabs>
        <w:ind w:left="567" w:hanging="567"/>
        <w:rPr>
          <w:sz w:val="21"/>
          <w:szCs w:val="21"/>
        </w:rPr>
      </w:pPr>
    </w:p>
    <w:p w:rsidR="00575624" w:rsidRDefault="00575624" w:rsidP="00EA5FAC">
      <w:pPr>
        <w:tabs>
          <w:tab w:val="left" w:pos="567"/>
        </w:tabs>
        <w:ind w:left="567" w:hanging="567"/>
        <w:rPr>
          <w:sz w:val="21"/>
          <w:szCs w:val="21"/>
        </w:rPr>
      </w:pPr>
    </w:p>
    <w:p w:rsidR="00575624" w:rsidRDefault="00575624" w:rsidP="00EA5FAC">
      <w:pPr>
        <w:tabs>
          <w:tab w:val="left" w:pos="567"/>
        </w:tabs>
        <w:ind w:left="567" w:hanging="567"/>
        <w:rPr>
          <w:sz w:val="21"/>
          <w:szCs w:val="21"/>
        </w:rPr>
      </w:pPr>
    </w:p>
    <w:p w:rsidR="00575624" w:rsidRDefault="00575624" w:rsidP="00EA5FAC">
      <w:pPr>
        <w:tabs>
          <w:tab w:val="left" w:pos="567"/>
        </w:tabs>
        <w:ind w:left="567" w:hanging="567"/>
        <w:rPr>
          <w:sz w:val="21"/>
          <w:szCs w:val="21"/>
        </w:rPr>
      </w:pPr>
    </w:p>
    <w:p w:rsidR="00575624" w:rsidRDefault="00575624" w:rsidP="00EA5FAC">
      <w:pPr>
        <w:tabs>
          <w:tab w:val="left" w:pos="567"/>
        </w:tabs>
        <w:ind w:left="567" w:hanging="567"/>
        <w:rPr>
          <w:sz w:val="21"/>
          <w:szCs w:val="21"/>
        </w:rPr>
      </w:pPr>
    </w:p>
    <w:p w:rsidR="00575624" w:rsidRDefault="00575624" w:rsidP="00EA5FAC">
      <w:pPr>
        <w:tabs>
          <w:tab w:val="left" w:pos="567"/>
        </w:tabs>
        <w:ind w:left="567" w:hanging="567"/>
        <w:rPr>
          <w:sz w:val="21"/>
          <w:szCs w:val="21"/>
        </w:rPr>
      </w:pPr>
    </w:p>
    <w:p w:rsidR="00575624" w:rsidRDefault="00575624" w:rsidP="00EA5FAC">
      <w:pPr>
        <w:tabs>
          <w:tab w:val="left" w:pos="567"/>
        </w:tabs>
        <w:ind w:left="567" w:hanging="567"/>
        <w:rPr>
          <w:sz w:val="21"/>
          <w:szCs w:val="21"/>
        </w:rPr>
      </w:pPr>
    </w:p>
    <w:p w:rsidR="00575624" w:rsidRPr="00575624" w:rsidRDefault="00575624" w:rsidP="00EA5FAC">
      <w:pPr>
        <w:tabs>
          <w:tab w:val="left" w:pos="567"/>
        </w:tabs>
        <w:ind w:left="567" w:hanging="567"/>
        <w:rPr>
          <w:sz w:val="21"/>
          <w:szCs w:val="21"/>
        </w:rPr>
      </w:pPr>
    </w:p>
    <w:p w:rsidR="004B7DCA" w:rsidRDefault="00E7531F" w:rsidP="004B7DCA">
      <w:pPr>
        <w:ind w:left="567"/>
        <w:rPr>
          <w:b/>
          <w:sz w:val="21"/>
          <w:szCs w:val="21"/>
        </w:rPr>
      </w:pPr>
      <w:r w:rsidRPr="00575624">
        <w:rPr>
          <w:b/>
          <w:sz w:val="21"/>
          <w:szCs w:val="21"/>
        </w:rPr>
        <w:lastRenderedPageBreak/>
        <w:t>Segmental Information</w:t>
      </w:r>
    </w:p>
    <w:p w:rsidR="00575624" w:rsidRPr="00575624" w:rsidRDefault="00575624" w:rsidP="004B7DCA">
      <w:pPr>
        <w:ind w:left="567"/>
        <w:rPr>
          <w:b/>
          <w:sz w:val="21"/>
          <w:szCs w:val="21"/>
        </w:rPr>
      </w:pPr>
    </w:p>
    <w:bookmarkStart w:id="50" w:name="_MON_1401954124"/>
    <w:bookmarkStart w:id="51" w:name="_MON_1401271754"/>
    <w:bookmarkStart w:id="52" w:name="_MON_1401272122"/>
    <w:bookmarkStart w:id="53" w:name="_MON_1401272136"/>
    <w:bookmarkStart w:id="54" w:name="_MON_1401272143"/>
    <w:bookmarkStart w:id="55" w:name="_MON_1401272269"/>
    <w:bookmarkStart w:id="56" w:name="_MON_1401272282"/>
    <w:bookmarkStart w:id="57" w:name="_MON_1402137852"/>
    <w:bookmarkStart w:id="58" w:name="_MON_1401272288"/>
    <w:bookmarkStart w:id="59" w:name="_MON_1401272895"/>
    <w:bookmarkStart w:id="60" w:name="_MON_1394434060"/>
    <w:bookmarkStart w:id="61" w:name="_MON_1394434083"/>
    <w:bookmarkStart w:id="62" w:name="_MON_1394434120"/>
    <w:bookmarkStart w:id="63" w:name="_MON_1394434134"/>
    <w:bookmarkStart w:id="64" w:name="_MON_1394434193"/>
    <w:bookmarkStart w:id="65" w:name="_MON_1394380591"/>
    <w:bookmarkStart w:id="66" w:name="_MON_1401800034"/>
    <w:bookmarkStart w:id="67" w:name="_MON_1401800334"/>
    <w:bookmarkStart w:id="68" w:name="_MON_1409475294"/>
    <w:bookmarkStart w:id="69" w:name="_MON_1401800379"/>
    <w:bookmarkStart w:id="70" w:name="_MON_1401800437"/>
    <w:bookmarkStart w:id="71" w:name="_MON_1401800546"/>
    <w:bookmarkStart w:id="72" w:name="_MON_1409560391"/>
    <w:bookmarkStart w:id="73" w:name="_MON_1401801059"/>
    <w:bookmarkStart w:id="74" w:name="_MON_1401801370"/>
    <w:bookmarkStart w:id="75" w:name="_MON_1394380606"/>
    <w:bookmarkStart w:id="76" w:name="_MON_1394380641"/>
    <w:bookmarkStart w:id="77" w:name="_MON_1394555114"/>
    <w:bookmarkStart w:id="78" w:name="_MON_1394380537"/>
    <w:bookmarkStart w:id="79" w:name="_MON_1394380579"/>
    <w:bookmarkStart w:id="80" w:name="_MON_1409993334"/>
    <w:bookmarkStart w:id="81" w:name="_MON_1394432273"/>
    <w:bookmarkStart w:id="82" w:name="_MON_1394432493"/>
    <w:bookmarkStart w:id="83" w:name="_MON_1394433287"/>
    <w:bookmarkStart w:id="84" w:name="_MON_1394433318"/>
    <w:bookmarkStart w:id="85" w:name="_MON_1394433324"/>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Start w:id="86" w:name="_MON_1394433382"/>
    <w:bookmarkEnd w:id="86"/>
    <w:p w:rsidR="00766C8F" w:rsidRDefault="00575624" w:rsidP="00DA7A07">
      <w:pPr>
        <w:tabs>
          <w:tab w:val="left" w:pos="567"/>
        </w:tabs>
        <w:ind w:left="567" w:hanging="567"/>
        <w:rPr>
          <w:sz w:val="21"/>
          <w:szCs w:val="21"/>
        </w:rPr>
      </w:pPr>
      <w:r w:rsidRPr="00575624">
        <w:rPr>
          <w:sz w:val="21"/>
          <w:szCs w:val="21"/>
        </w:rPr>
        <w:object w:dxaOrig="9687" w:dyaOrig="5725">
          <v:shape id="_x0000_i1027" type="#_x0000_t75" style="width:486pt;height:285.8pt" o:ole="">
            <v:imagedata r:id="rId13" o:title=""/>
          </v:shape>
          <o:OLEObject Type="Embed" ProgID="Excel.Sheet.12" ShapeID="_x0000_i1027" DrawAspect="Content" ObjectID="_1441724957" r:id="rId14"/>
        </w:object>
      </w:r>
      <w:bookmarkStart w:id="87" w:name="_MON_1394378550"/>
      <w:bookmarkStart w:id="88" w:name="_MON_1394378687"/>
      <w:bookmarkEnd w:id="87"/>
      <w:bookmarkEnd w:id="88"/>
    </w:p>
    <w:p w:rsidR="00575624" w:rsidRPr="00575624" w:rsidRDefault="00575624" w:rsidP="00DA7A07">
      <w:pPr>
        <w:tabs>
          <w:tab w:val="left" w:pos="567"/>
        </w:tabs>
        <w:ind w:left="567" w:hanging="567"/>
        <w:rPr>
          <w:sz w:val="21"/>
          <w:szCs w:val="21"/>
        </w:rPr>
      </w:pPr>
    </w:p>
    <w:p w:rsidR="004B5C5B" w:rsidRPr="00575624" w:rsidRDefault="00CF1DDC" w:rsidP="002D1086">
      <w:pPr>
        <w:tabs>
          <w:tab w:val="left" w:pos="567"/>
        </w:tabs>
        <w:ind w:left="567"/>
        <w:jc w:val="both"/>
        <w:rPr>
          <w:sz w:val="21"/>
          <w:szCs w:val="21"/>
        </w:rPr>
      </w:pPr>
      <w:r w:rsidRPr="00575624">
        <w:rPr>
          <w:sz w:val="21"/>
          <w:szCs w:val="21"/>
        </w:rPr>
        <w:t>For management purposes, t</w:t>
      </w:r>
      <w:r w:rsidR="004B5C5B" w:rsidRPr="00575624">
        <w:rPr>
          <w:sz w:val="21"/>
          <w:szCs w:val="21"/>
        </w:rPr>
        <w:t xml:space="preserve">he Group is organized into business units based on their product and services, and has four operating segments as follows: </w:t>
      </w:r>
    </w:p>
    <w:p w:rsidR="004B5C5B" w:rsidRPr="00575624" w:rsidRDefault="004B5C5B" w:rsidP="002D1086">
      <w:pPr>
        <w:tabs>
          <w:tab w:val="left" w:pos="567"/>
        </w:tabs>
        <w:ind w:left="567"/>
        <w:jc w:val="both"/>
        <w:rPr>
          <w:sz w:val="21"/>
          <w:szCs w:val="21"/>
        </w:rPr>
      </w:pPr>
    </w:p>
    <w:p w:rsidR="00B747F5" w:rsidRPr="00575624" w:rsidRDefault="00B747F5" w:rsidP="00C47924">
      <w:pPr>
        <w:pStyle w:val="ListParagraph"/>
        <w:numPr>
          <w:ilvl w:val="0"/>
          <w:numId w:val="4"/>
        </w:numPr>
        <w:tabs>
          <w:tab w:val="left" w:pos="567"/>
        </w:tabs>
        <w:ind w:left="993" w:hanging="426"/>
        <w:jc w:val="both"/>
        <w:rPr>
          <w:sz w:val="21"/>
          <w:szCs w:val="21"/>
        </w:rPr>
      </w:pPr>
      <w:r w:rsidRPr="00575624">
        <w:rPr>
          <w:sz w:val="21"/>
          <w:szCs w:val="21"/>
        </w:rPr>
        <w:t>The marine segment consists of leasing of vessels, provision of barge services and marine management services.</w:t>
      </w:r>
    </w:p>
    <w:p w:rsidR="004B5C5B" w:rsidRPr="00575624" w:rsidRDefault="004B5C5B" w:rsidP="00C47924">
      <w:pPr>
        <w:pStyle w:val="ListParagraph"/>
        <w:numPr>
          <w:ilvl w:val="0"/>
          <w:numId w:val="4"/>
        </w:numPr>
        <w:tabs>
          <w:tab w:val="left" w:pos="567"/>
        </w:tabs>
        <w:ind w:left="993" w:hanging="426"/>
        <w:jc w:val="both"/>
        <w:rPr>
          <w:sz w:val="21"/>
          <w:szCs w:val="21"/>
        </w:rPr>
      </w:pPr>
      <w:r w:rsidRPr="00575624">
        <w:rPr>
          <w:sz w:val="21"/>
          <w:szCs w:val="21"/>
        </w:rPr>
        <w:t xml:space="preserve">The transport segment consists of the provision of </w:t>
      </w:r>
      <w:r w:rsidR="00C5480D" w:rsidRPr="00575624">
        <w:rPr>
          <w:sz w:val="21"/>
          <w:szCs w:val="21"/>
        </w:rPr>
        <w:t>trucking</w:t>
      </w:r>
      <w:r w:rsidRPr="00575624">
        <w:rPr>
          <w:sz w:val="21"/>
          <w:szCs w:val="21"/>
        </w:rPr>
        <w:t xml:space="preserve"> services.</w:t>
      </w:r>
    </w:p>
    <w:p w:rsidR="004B5C5B" w:rsidRPr="00575624" w:rsidRDefault="004B5C5B" w:rsidP="00C47924">
      <w:pPr>
        <w:pStyle w:val="ListParagraph"/>
        <w:numPr>
          <w:ilvl w:val="0"/>
          <w:numId w:val="4"/>
        </w:numPr>
        <w:tabs>
          <w:tab w:val="left" w:pos="567"/>
        </w:tabs>
        <w:ind w:left="993" w:hanging="426"/>
        <w:jc w:val="both"/>
        <w:rPr>
          <w:sz w:val="21"/>
          <w:szCs w:val="21"/>
        </w:rPr>
      </w:pPr>
      <w:r w:rsidRPr="00575624">
        <w:rPr>
          <w:sz w:val="21"/>
          <w:szCs w:val="21"/>
        </w:rPr>
        <w:t>The trading segment consists of trading</w:t>
      </w:r>
      <w:r w:rsidR="001A5848" w:rsidRPr="00575624">
        <w:rPr>
          <w:sz w:val="21"/>
          <w:szCs w:val="21"/>
        </w:rPr>
        <w:t xml:space="preserve"> activities mainly in the </w:t>
      </w:r>
      <w:r w:rsidRPr="00575624">
        <w:rPr>
          <w:sz w:val="21"/>
          <w:szCs w:val="21"/>
        </w:rPr>
        <w:t xml:space="preserve">construction </w:t>
      </w:r>
      <w:r w:rsidR="0095252F" w:rsidRPr="00575624">
        <w:rPr>
          <w:sz w:val="21"/>
          <w:szCs w:val="21"/>
        </w:rPr>
        <w:t>re</w:t>
      </w:r>
      <w:r w:rsidR="001A5848" w:rsidRPr="00575624">
        <w:rPr>
          <w:sz w:val="21"/>
          <w:szCs w:val="21"/>
        </w:rPr>
        <w:t xml:space="preserve">lated </w:t>
      </w:r>
      <w:r w:rsidRPr="00575624">
        <w:rPr>
          <w:sz w:val="21"/>
          <w:szCs w:val="21"/>
        </w:rPr>
        <w:t>materials.</w:t>
      </w:r>
    </w:p>
    <w:p w:rsidR="004B5C5B" w:rsidRPr="00575624" w:rsidRDefault="004B5C5B" w:rsidP="00C47924">
      <w:pPr>
        <w:pStyle w:val="ListParagraph"/>
        <w:numPr>
          <w:ilvl w:val="0"/>
          <w:numId w:val="4"/>
        </w:numPr>
        <w:tabs>
          <w:tab w:val="left" w:pos="567"/>
        </w:tabs>
        <w:ind w:left="993" w:hanging="426"/>
        <w:jc w:val="both"/>
        <w:rPr>
          <w:sz w:val="21"/>
          <w:szCs w:val="21"/>
        </w:rPr>
      </w:pPr>
      <w:r w:rsidRPr="00575624">
        <w:rPr>
          <w:sz w:val="21"/>
          <w:szCs w:val="21"/>
        </w:rPr>
        <w:t>Other operations consist</w:t>
      </w:r>
      <w:r w:rsidR="002D1086" w:rsidRPr="00575624">
        <w:rPr>
          <w:sz w:val="21"/>
          <w:szCs w:val="21"/>
        </w:rPr>
        <w:t xml:space="preserve"> of p</w:t>
      </w:r>
      <w:r w:rsidR="002E5973" w:rsidRPr="00575624">
        <w:rPr>
          <w:sz w:val="21"/>
          <w:szCs w:val="21"/>
        </w:rPr>
        <w:t>rovision of warehouses</w:t>
      </w:r>
      <w:r w:rsidR="001A5848" w:rsidRPr="00575624">
        <w:rPr>
          <w:sz w:val="21"/>
          <w:szCs w:val="21"/>
        </w:rPr>
        <w:t xml:space="preserve">, </w:t>
      </w:r>
      <w:r w:rsidR="002D1086" w:rsidRPr="00575624">
        <w:rPr>
          <w:sz w:val="21"/>
          <w:szCs w:val="21"/>
        </w:rPr>
        <w:t>rental from investment properties</w:t>
      </w:r>
      <w:r w:rsidR="001A5848" w:rsidRPr="00575624">
        <w:rPr>
          <w:sz w:val="21"/>
          <w:szCs w:val="21"/>
        </w:rPr>
        <w:t xml:space="preserve"> and investment income</w:t>
      </w:r>
      <w:r w:rsidR="002D1086" w:rsidRPr="00575624">
        <w:rPr>
          <w:sz w:val="21"/>
          <w:szCs w:val="21"/>
        </w:rPr>
        <w:t>.</w:t>
      </w:r>
    </w:p>
    <w:p w:rsidR="004B5C5B" w:rsidRPr="00575624" w:rsidRDefault="004B5C5B" w:rsidP="002D1086">
      <w:pPr>
        <w:tabs>
          <w:tab w:val="left" w:pos="567"/>
        </w:tabs>
        <w:ind w:left="567"/>
        <w:jc w:val="both"/>
        <w:rPr>
          <w:sz w:val="21"/>
          <w:szCs w:val="21"/>
        </w:rPr>
      </w:pPr>
    </w:p>
    <w:p w:rsidR="00CF1DDC" w:rsidRPr="00575624" w:rsidRDefault="00CF1DDC" w:rsidP="002D1086">
      <w:pPr>
        <w:tabs>
          <w:tab w:val="left" w:pos="567"/>
        </w:tabs>
        <w:ind w:left="567"/>
        <w:jc w:val="both"/>
        <w:rPr>
          <w:sz w:val="21"/>
          <w:szCs w:val="21"/>
        </w:rPr>
      </w:pPr>
      <w:r w:rsidRPr="00575624">
        <w:rPr>
          <w:sz w:val="21"/>
          <w:szCs w:val="21"/>
        </w:rPr>
        <w:t>Transactions between segments are carried out on mutually agreed basis</w:t>
      </w:r>
      <w:r w:rsidR="006365B3" w:rsidRPr="00575624">
        <w:rPr>
          <w:sz w:val="21"/>
          <w:szCs w:val="21"/>
        </w:rPr>
        <w:t>.  The effects of such inter-segment transactions are eliminated on consolidation.</w:t>
      </w:r>
    </w:p>
    <w:p w:rsidR="00B26661" w:rsidRPr="00575624" w:rsidRDefault="00B26661" w:rsidP="00B26661">
      <w:pPr>
        <w:tabs>
          <w:tab w:val="left" w:pos="567"/>
        </w:tabs>
        <w:autoSpaceDE w:val="0"/>
        <w:autoSpaceDN w:val="0"/>
        <w:adjustRightInd w:val="0"/>
        <w:ind w:left="567"/>
        <w:jc w:val="both"/>
        <w:rPr>
          <w:b/>
          <w:sz w:val="21"/>
          <w:szCs w:val="21"/>
          <w:u w:val="single"/>
        </w:rPr>
      </w:pPr>
    </w:p>
    <w:p w:rsidR="00B26661" w:rsidRPr="00575624" w:rsidRDefault="00B26661" w:rsidP="00B26661">
      <w:pPr>
        <w:tabs>
          <w:tab w:val="left" w:pos="567"/>
        </w:tabs>
        <w:autoSpaceDE w:val="0"/>
        <w:autoSpaceDN w:val="0"/>
        <w:adjustRightInd w:val="0"/>
        <w:ind w:left="567"/>
        <w:jc w:val="both"/>
        <w:rPr>
          <w:b/>
          <w:sz w:val="21"/>
          <w:szCs w:val="21"/>
          <w:u w:val="single"/>
        </w:rPr>
      </w:pPr>
      <w:r w:rsidRPr="00575624">
        <w:rPr>
          <w:b/>
          <w:sz w:val="21"/>
          <w:szCs w:val="21"/>
          <w:u w:val="single"/>
        </w:rPr>
        <w:t xml:space="preserve">Marine </w:t>
      </w:r>
    </w:p>
    <w:p w:rsidR="00E54580" w:rsidRPr="00575624" w:rsidRDefault="00E54580" w:rsidP="00E54580">
      <w:pPr>
        <w:tabs>
          <w:tab w:val="left" w:pos="567"/>
        </w:tabs>
        <w:autoSpaceDE w:val="0"/>
        <w:autoSpaceDN w:val="0"/>
        <w:adjustRightInd w:val="0"/>
        <w:ind w:left="567"/>
        <w:jc w:val="both"/>
        <w:rPr>
          <w:b/>
          <w:color w:val="FF0000"/>
          <w:sz w:val="21"/>
          <w:szCs w:val="21"/>
        </w:rPr>
      </w:pPr>
    </w:p>
    <w:p w:rsidR="00E54580" w:rsidRPr="00575624" w:rsidRDefault="00E54580" w:rsidP="00E54580">
      <w:pPr>
        <w:tabs>
          <w:tab w:val="left" w:pos="567"/>
        </w:tabs>
        <w:autoSpaceDE w:val="0"/>
        <w:autoSpaceDN w:val="0"/>
        <w:adjustRightInd w:val="0"/>
        <w:ind w:left="567"/>
        <w:jc w:val="both"/>
        <w:rPr>
          <w:sz w:val="21"/>
          <w:szCs w:val="21"/>
        </w:rPr>
      </w:pPr>
      <w:r w:rsidRPr="00575624">
        <w:rPr>
          <w:sz w:val="21"/>
          <w:szCs w:val="21"/>
        </w:rPr>
        <w:t xml:space="preserve">Revenue from marine segment for the period under review </w:t>
      </w:r>
      <w:r w:rsidR="00883C8E" w:rsidRPr="00575624">
        <w:rPr>
          <w:sz w:val="21"/>
          <w:szCs w:val="21"/>
        </w:rPr>
        <w:t xml:space="preserve">has </w:t>
      </w:r>
      <w:r w:rsidRPr="00575624">
        <w:rPr>
          <w:sz w:val="21"/>
          <w:szCs w:val="21"/>
        </w:rPr>
        <w:t xml:space="preserve">increased by RM12.989 million as compared to the corresponding prior period ended 31 July 2012. The increase was mainly due to the increase in contribution from chartering of two new vessels during the period under review. The increase in revenue resulted in an increase of the segment results for the period under review by RM2.339 million </w:t>
      </w:r>
      <w:r w:rsidR="00247F59">
        <w:rPr>
          <w:sz w:val="21"/>
          <w:szCs w:val="21"/>
        </w:rPr>
        <w:t xml:space="preserve">as compared </w:t>
      </w:r>
      <w:r w:rsidRPr="00575624">
        <w:rPr>
          <w:sz w:val="21"/>
          <w:szCs w:val="21"/>
        </w:rPr>
        <w:t>to the corresponding prior period ended 31 July 2012.</w:t>
      </w:r>
    </w:p>
    <w:p w:rsidR="00A863FB" w:rsidRPr="00575624" w:rsidRDefault="00A863FB" w:rsidP="00A863FB">
      <w:pPr>
        <w:tabs>
          <w:tab w:val="left" w:pos="567"/>
        </w:tabs>
        <w:autoSpaceDE w:val="0"/>
        <w:autoSpaceDN w:val="0"/>
        <w:adjustRightInd w:val="0"/>
        <w:ind w:left="567" w:hanging="567"/>
        <w:jc w:val="both"/>
        <w:rPr>
          <w:sz w:val="21"/>
          <w:szCs w:val="21"/>
        </w:rPr>
      </w:pPr>
    </w:p>
    <w:p w:rsidR="00A863FB" w:rsidRPr="00575624" w:rsidRDefault="00A863FB" w:rsidP="000707A8">
      <w:pPr>
        <w:tabs>
          <w:tab w:val="left" w:pos="567"/>
        </w:tabs>
        <w:autoSpaceDE w:val="0"/>
        <w:autoSpaceDN w:val="0"/>
        <w:adjustRightInd w:val="0"/>
        <w:ind w:left="567"/>
        <w:jc w:val="both"/>
        <w:rPr>
          <w:b/>
          <w:sz w:val="21"/>
          <w:szCs w:val="21"/>
          <w:u w:val="single"/>
        </w:rPr>
      </w:pPr>
      <w:r w:rsidRPr="00575624">
        <w:rPr>
          <w:b/>
          <w:sz w:val="21"/>
          <w:szCs w:val="21"/>
          <w:u w:val="single"/>
        </w:rPr>
        <w:t>Transport</w:t>
      </w:r>
    </w:p>
    <w:p w:rsidR="00E54580" w:rsidRPr="00575624" w:rsidRDefault="00E54580" w:rsidP="000707A8">
      <w:pPr>
        <w:tabs>
          <w:tab w:val="left" w:pos="567"/>
        </w:tabs>
        <w:autoSpaceDE w:val="0"/>
        <w:autoSpaceDN w:val="0"/>
        <w:adjustRightInd w:val="0"/>
        <w:ind w:left="567"/>
        <w:jc w:val="both"/>
        <w:rPr>
          <w:b/>
          <w:color w:val="FF0000"/>
          <w:sz w:val="21"/>
          <w:szCs w:val="21"/>
        </w:rPr>
      </w:pPr>
    </w:p>
    <w:p w:rsidR="00481393" w:rsidRPr="00575624" w:rsidRDefault="00E54580" w:rsidP="000707A8">
      <w:pPr>
        <w:tabs>
          <w:tab w:val="left" w:pos="567"/>
        </w:tabs>
        <w:autoSpaceDE w:val="0"/>
        <w:autoSpaceDN w:val="0"/>
        <w:adjustRightInd w:val="0"/>
        <w:ind w:left="567"/>
        <w:jc w:val="both"/>
        <w:rPr>
          <w:sz w:val="21"/>
          <w:szCs w:val="21"/>
        </w:rPr>
      </w:pPr>
      <w:r w:rsidRPr="00575624">
        <w:rPr>
          <w:sz w:val="21"/>
          <w:szCs w:val="21"/>
        </w:rPr>
        <w:t xml:space="preserve">Revenue from transport segment for the period under review </w:t>
      </w:r>
      <w:r w:rsidR="00883C8E" w:rsidRPr="00575624">
        <w:rPr>
          <w:sz w:val="21"/>
          <w:szCs w:val="21"/>
        </w:rPr>
        <w:t xml:space="preserve">has </w:t>
      </w:r>
      <w:r w:rsidRPr="00575624">
        <w:rPr>
          <w:sz w:val="21"/>
          <w:szCs w:val="21"/>
        </w:rPr>
        <w:t>decreased by RM5.760 million or 9.6% as compared to the corresponding prior period ended 31 July 2012. The decrease was mainly due to the decrease in demand for the Group’s transportation services. The decrease in revenue and drop in gross profit margin resulted in a decrease of the segment result by RM1.270 million as compared to the corresponding prior period ended 31 July 2012.</w:t>
      </w:r>
    </w:p>
    <w:p w:rsidR="00575624" w:rsidRDefault="00575624" w:rsidP="00633D96">
      <w:pPr>
        <w:pStyle w:val="BodyTextIndent2"/>
        <w:tabs>
          <w:tab w:val="left" w:pos="567"/>
        </w:tabs>
        <w:ind w:left="567"/>
        <w:rPr>
          <w:b/>
          <w:sz w:val="21"/>
          <w:szCs w:val="21"/>
          <w:u w:val="single"/>
        </w:rPr>
      </w:pPr>
    </w:p>
    <w:p w:rsidR="00C42FD9" w:rsidRDefault="00C42FD9" w:rsidP="00633D96">
      <w:pPr>
        <w:pStyle w:val="BodyTextIndent2"/>
        <w:tabs>
          <w:tab w:val="left" w:pos="567"/>
        </w:tabs>
        <w:ind w:left="567"/>
        <w:rPr>
          <w:b/>
          <w:sz w:val="21"/>
          <w:szCs w:val="21"/>
          <w:u w:val="single"/>
        </w:rPr>
      </w:pPr>
    </w:p>
    <w:p w:rsidR="00C42FD9" w:rsidRPr="00575624" w:rsidRDefault="00C42FD9" w:rsidP="00633D96">
      <w:pPr>
        <w:pStyle w:val="BodyTextIndent2"/>
        <w:tabs>
          <w:tab w:val="left" w:pos="567"/>
        </w:tabs>
        <w:ind w:left="567"/>
        <w:rPr>
          <w:b/>
          <w:sz w:val="21"/>
          <w:szCs w:val="21"/>
          <w:u w:val="single"/>
        </w:rPr>
      </w:pPr>
    </w:p>
    <w:p w:rsidR="00A863FB" w:rsidRPr="00575624" w:rsidRDefault="00A863FB" w:rsidP="00633D96">
      <w:pPr>
        <w:pStyle w:val="BodyTextIndent2"/>
        <w:tabs>
          <w:tab w:val="left" w:pos="567"/>
        </w:tabs>
        <w:ind w:left="567"/>
        <w:rPr>
          <w:b/>
          <w:sz w:val="21"/>
          <w:szCs w:val="21"/>
          <w:u w:val="single"/>
        </w:rPr>
      </w:pPr>
      <w:r w:rsidRPr="00575624">
        <w:rPr>
          <w:b/>
          <w:sz w:val="21"/>
          <w:szCs w:val="21"/>
          <w:u w:val="single"/>
        </w:rPr>
        <w:lastRenderedPageBreak/>
        <w:t>Trading</w:t>
      </w:r>
    </w:p>
    <w:p w:rsidR="00E54580" w:rsidRPr="00575624" w:rsidRDefault="00E54580" w:rsidP="00E54580">
      <w:pPr>
        <w:tabs>
          <w:tab w:val="left" w:pos="567"/>
        </w:tabs>
        <w:autoSpaceDE w:val="0"/>
        <w:autoSpaceDN w:val="0"/>
        <w:adjustRightInd w:val="0"/>
        <w:ind w:left="567"/>
        <w:jc w:val="both"/>
        <w:rPr>
          <w:b/>
          <w:color w:val="FF0000"/>
          <w:sz w:val="21"/>
          <w:szCs w:val="21"/>
        </w:rPr>
      </w:pPr>
    </w:p>
    <w:p w:rsidR="00E54580" w:rsidRPr="00575624" w:rsidRDefault="00E54580" w:rsidP="00E54580">
      <w:pPr>
        <w:tabs>
          <w:tab w:val="left" w:pos="567"/>
        </w:tabs>
        <w:autoSpaceDE w:val="0"/>
        <w:autoSpaceDN w:val="0"/>
        <w:adjustRightInd w:val="0"/>
        <w:ind w:left="567"/>
        <w:jc w:val="both"/>
        <w:rPr>
          <w:sz w:val="21"/>
          <w:szCs w:val="21"/>
        </w:rPr>
      </w:pPr>
      <w:r w:rsidRPr="00575624">
        <w:rPr>
          <w:sz w:val="21"/>
          <w:szCs w:val="21"/>
        </w:rPr>
        <w:t>Revenue from trading segment for the period under review</w:t>
      </w:r>
      <w:r w:rsidR="00883C8E" w:rsidRPr="00575624">
        <w:rPr>
          <w:sz w:val="21"/>
          <w:szCs w:val="21"/>
        </w:rPr>
        <w:t xml:space="preserve"> has </w:t>
      </w:r>
      <w:r w:rsidRPr="00575624">
        <w:rPr>
          <w:sz w:val="21"/>
          <w:szCs w:val="21"/>
        </w:rPr>
        <w:t xml:space="preserve">decreased by RM51.586 million or 12.7% as compared to the corresponding prior period ended 31 July 2012. The decrease was mainly due to the decrease in demand and drop in average unit price of trading materials.  The decrease in revenue and drop in gross profit margin resulted in a decrease of the segment results by RM6.045 million </w:t>
      </w:r>
      <w:r w:rsidR="00247F59">
        <w:rPr>
          <w:sz w:val="21"/>
          <w:szCs w:val="21"/>
        </w:rPr>
        <w:t xml:space="preserve">as compared </w:t>
      </w:r>
      <w:r w:rsidRPr="00575624">
        <w:rPr>
          <w:sz w:val="21"/>
          <w:szCs w:val="21"/>
        </w:rPr>
        <w:t>to the corresponding prior period ended 31 July 2012.</w:t>
      </w:r>
    </w:p>
    <w:p w:rsidR="008A2119" w:rsidRPr="00575624" w:rsidRDefault="008A2119" w:rsidP="00A863FB">
      <w:pPr>
        <w:tabs>
          <w:tab w:val="left" w:pos="567"/>
        </w:tabs>
        <w:autoSpaceDE w:val="0"/>
        <w:autoSpaceDN w:val="0"/>
        <w:adjustRightInd w:val="0"/>
        <w:ind w:left="567" w:hanging="567"/>
        <w:jc w:val="both"/>
        <w:rPr>
          <w:sz w:val="21"/>
          <w:szCs w:val="21"/>
        </w:rPr>
      </w:pPr>
    </w:p>
    <w:p w:rsidR="00A863FB" w:rsidRPr="00575624" w:rsidRDefault="00A863FB" w:rsidP="00633D96">
      <w:pPr>
        <w:tabs>
          <w:tab w:val="left" w:pos="567"/>
        </w:tabs>
        <w:autoSpaceDE w:val="0"/>
        <w:autoSpaceDN w:val="0"/>
        <w:adjustRightInd w:val="0"/>
        <w:ind w:left="567"/>
        <w:jc w:val="both"/>
        <w:rPr>
          <w:b/>
          <w:sz w:val="21"/>
          <w:szCs w:val="21"/>
          <w:u w:val="single"/>
        </w:rPr>
      </w:pPr>
      <w:r w:rsidRPr="00575624">
        <w:rPr>
          <w:b/>
          <w:sz w:val="21"/>
          <w:szCs w:val="21"/>
          <w:u w:val="single"/>
        </w:rPr>
        <w:t>Other Operations</w:t>
      </w:r>
    </w:p>
    <w:p w:rsidR="00E54580" w:rsidRPr="00575624" w:rsidRDefault="00E54580" w:rsidP="00E54580">
      <w:pPr>
        <w:tabs>
          <w:tab w:val="left" w:pos="567"/>
        </w:tabs>
        <w:autoSpaceDE w:val="0"/>
        <w:autoSpaceDN w:val="0"/>
        <w:adjustRightInd w:val="0"/>
        <w:ind w:left="567"/>
        <w:jc w:val="both"/>
        <w:rPr>
          <w:sz w:val="21"/>
          <w:szCs w:val="21"/>
        </w:rPr>
      </w:pPr>
    </w:p>
    <w:p w:rsidR="00E54580" w:rsidRPr="00575624" w:rsidRDefault="00E54580" w:rsidP="00E54580">
      <w:pPr>
        <w:tabs>
          <w:tab w:val="left" w:pos="567"/>
        </w:tabs>
        <w:autoSpaceDE w:val="0"/>
        <w:autoSpaceDN w:val="0"/>
        <w:adjustRightInd w:val="0"/>
        <w:ind w:left="567"/>
        <w:jc w:val="both"/>
        <w:rPr>
          <w:sz w:val="21"/>
          <w:szCs w:val="21"/>
        </w:rPr>
      </w:pPr>
      <w:r w:rsidRPr="00575624">
        <w:rPr>
          <w:sz w:val="21"/>
          <w:szCs w:val="21"/>
        </w:rPr>
        <w:t xml:space="preserve">The segment loss of other operations increased by RM2.532 million as compared to the corresponding prior period ended 31 July 2012. The increase was mainly attributable to the unrealized loss on foreign exchange </w:t>
      </w:r>
      <w:r w:rsidR="00247F59">
        <w:rPr>
          <w:sz w:val="21"/>
          <w:szCs w:val="21"/>
        </w:rPr>
        <w:t>a</w:t>
      </w:r>
      <w:r w:rsidRPr="00575624">
        <w:rPr>
          <w:sz w:val="21"/>
          <w:szCs w:val="21"/>
        </w:rPr>
        <w:t>rising from the impact of weakening of Ringgit Malaysia against United States Dollars.</w:t>
      </w:r>
    </w:p>
    <w:p w:rsidR="00821346" w:rsidRPr="00575624" w:rsidRDefault="00821346" w:rsidP="00B864E3">
      <w:pPr>
        <w:tabs>
          <w:tab w:val="left" w:pos="567"/>
        </w:tabs>
        <w:autoSpaceDE w:val="0"/>
        <w:autoSpaceDN w:val="0"/>
        <w:adjustRightInd w:val="0"/>
        <w:ind w:left="567"/>
        <w:jc w:val="both"/>
        <w:rPr>
          <w:sz w:val="21"/>
          <w:szCs w:val="21"/>
        </w:rPr>
      </w:pPr>
    </w:p>
    <w:p w:rsidR="00A430DD" w:rsidRPr="00575624" w:rsidRDefault="005F491A" w:rsidP="00B864E3">
      <w:pPr>
        <w:tabs>
          <w:tab w:val="left" w:pos="567"/>
        </w:tabs>
        <w:autoSpaceDE w:val="0"/>
        <w:autoSpaceDN w:val="0"/>
        <w:adjustRightInd w:val="0"/>
        <w:ind w:left="567"/>
        <w:jc w:val="both"/>
        <w:rPr>
          <w:b/>
          <w:sz w:val="21"/>
          <w:szCs w:val="21"/>
          <w:u w:val="single"/>
        </w:rPr>
      </w:pPr>
      <w:r w:rsidRPr="00575624">
        <w:rPr>
          <w:b/>
          <w:sz w:val="21"/>
          <w:szCs w:val="21"/>
          <w:u w:val="single"/>
        </w:rPr>
        <w:t>Results of J</w:t>
      </w:r>
      <w:r w:rsidR="00821346" w:rsidRPr="00575624">
        <w:rPr>
          <w:b/>
          <w:sz w:val="21"/>
          <w:szCs w:val="21"/>
          <w:u w:val="single"/>
        </w:rPr>
        <w:t xml:space="preserve">oint </w:t>
      </w:r>
      <w:r w:rsidRPr="00575624">
        <w:rPr>
          <w:b/>
          <w:sz w:val="21"/>
          <w:szCs w:val="21"/>
          <w:u w:val="single"/>
        </w:rPr>
        <w:t>V</w:t>
      </w:r>
      <w:r w:rsidR="00821346" w:rsidRPr="00575624">
        <w:rPr>
          <w:b/>
          <w:sz w:val="21"/>
          <w:szCs w:val="21"/>
          <w:u w:val="single"/>
        </w:rPr>
        <w:t>enture</w:t>
      </w:r>
      <w:r w:rsidR="0053674E" w:rsidRPr="00575624">
        <w:rPr>
          <w:b/>
          <w:sz w:val="21"/>
          <w:szCs w:val="21"/>
          <w:u w:val="single"/>
        </w:rPr>
        <w:t>s</w:t>
      </w:r>
      <w:r w:rsidR="00821346" w:rsidRPr="00575624">
        <w:rPr>
          <w:b/>
          <w:sz w:val="21"/>
          <w:szCs w:val="21"/>
          <w:u w:val="single"/>
        </w:rPr>
        <w:t xml:space="preserve"> </w:t>
      </w:r>
      <w:r w:rsidR="004B7DCA" w:rsidRPr="00575624">
        <w:rPr>
          <w:b/>
          <w:sz w:val="21"/>
          <w:szCs w:val="21"/>
          <w:u w:val="single"/>
        </w:rPr>
        <w:t>and A</w:t>
      </w:r>
      <w:r w:rsidR="0053674E" w:rsidRPr="00575624">
        <w:rPr>
          <w:b/>
          <w:sz w:val="21"/>
          <w:szCs w:val="21"/>
          <w:u w:val="single"/>
        </w:rPr>
        <w:t>ssociate</w:t>
      </w:r>
    </w:p>
    <w:p w:rsidR="004C3827" w:rsidRPr="00575624" w:rsidRDefault="004C3827" w:rsidP="00E54580">
      <w:pPr>
        <w:tabs>
          <w:tab w:val="left" w:pos="567"/>
        </w:tabs>
        <w:autoSpaceDE w:val="0"/>
        <w:autoSpaceDN w:val="0"/>
        <w:adjustRightInd w:val="0"/>
        <w:ind w:left="567"/>
        <w:jc w:val="both"/>
        <w:rPr>
          <w:sz w:val="21"/>
          <w:szCs w:val="21"/>
        </w:rPr>
      </w:pPr>
    </w:p>
    <w:p w:rsidR="00E54580" w:rsidRPr="00575624" w:rsidRDefault="00E54580" w:rsidP="00E54580">
      <w:pPr>
        <w:tabs>
          <w:tab w:val="left" w:pos="567"/>
        </w:tabs>
        <w:autoSpaceDE w:val="0"/>
        <w:autoSpaceDN w:val="0"/>
        <w:adjustRightInd w:val="0"/>
        <w:ind w:left="567"/>
        <w:jc w:val="both"/>
        <w:rPr>
          <w:sz w:val="21"/>
          <w:szCs w:val="21"/>
        </w:rPr>
      </w:pPr>
      <w:r w:rsidRPr="00575624">
        <w:rPr>
          <w:sz w:val="21"/>
          <w:szCs w:val="21"/>
        </w:rPr>
        <w:t>The share of the results of joint venture companies has increased to profit of RM15.663 million for the period ended 31 July 2013 as compared to the loss of RM0.194 million for the corresponding prior period ended 31 July 2012 due to the revenue contribution from the commencement of floating storage</w:t>
      </w:r>
      <w:r w:rsidR="009D102E" w:rsidRPr="00575624">
        <w:rPr>
          <w:sz w:val="21"/>
          <w:szCs w:val="21"/>
        </w:rPr>
        <w:t xml:space="preserve"> and offloading vessel (“FSO”) </w:t>
      </w:r>
      <w:r w:rsidRPr="00575624">
        <w:rPr>
          <w:sz w:val="21"/>
          <w:szCs w:val="21"/>
        </w:rPr>
        <w:t xml:space="preserve">of a joint venture company. </w:t>
      </w:r>
    </w:p>
    <w:p w:rsidR="00821346" w:rsidRPr="00575624" w:rsidRDefault="00821346" w:rsidP="00B864E3">
      <w:pPr>
        <w:tabs>
          <w:tab w:val="left" w:pos="567"/>
        </w:tabs>
        <w:autoSpaceDE w:val="0"/>
        <w:autoSpaceDN w:val="0"/>
        <w:adjustRightInd w:val="0"/>
        <w:ind w:left="567"/>
        <w:jc w:val="both"/>
        <w:rPr>
          <w:sz w:val="21"/>
          <w:szCs w:val="21"/>
        </w:rPr>
      </w:pPr>
    </w:p>
    <w:p w:rsidR="00A430DD" w:rsidRPr="00575624" w:rsidRDefault="007734AB" w:rsidP="00B864E3">
      <w:pPr>
        <w:tabs>
          <w:tab w:val="left" w:pos="567"/>
        </w:tabs>
        <w:autoSpaceDE w:val="0"/>
        <w:autoSpaceDN w:val="0"/>
        <w:adjustRightInd w:val="0"/>
        <w:ind w:left="567"/>
        <w:jc w:val="both"/>
        <w:rPr>
          <w:b/>
          <w:sz w:val="21"/>
          <w:szCs w:val="21"/>
          <w:u w:val="single"/>
        </w:rPr>
      </w:pPr>
      <w:r w:rsidRPr="00575624">
        <w:rPr>
          <w:b/>
          <w:sz w:val="21"/>
          <w:szCs w:val="21"/>
          <w:u w:val="single"/>
        </w:rPr>
        <w:t>Consolidated</w:t>
      </w:r>
      <w:r w:rsidR="00A74240" w:rsidRPr="00575624">
        <w:rPr>
          <w:b/>
          <w:sz w:val="21"/>
          <w:szCs w:val="21"/>
          <w:u w:val="single"/>
        </w:rPr>
        <w:t xml:space="preserve"> profit </w:t>
      </w:r>
      <w:r w:rsidR="00C355FF" w:rsidRPr="00575624">
        <w:rPr>
          <w:b/>
          <w:sz w:val="21"/>
          <w:szCs w:val="21"/>
          <w:u w:val="single"/>
        </w:rPr>
        <w:t>before</w:t>
      </w:r>
      <w:r w:rsidR="00A430DD" w:rsidRPr="00575624">
        <w:rPr>
          <w:b/>
          <w:sz w:val="21"/>
          <w:szCs w:val="21"/>
          <w:u w:val="single"/>
        </w:rPr>
        <w:t xml:space="preserve"> tax</w:t>
      </w:r>
    </w:p>
    <w:p w:rsidR="00C87F6A" w:rsidRPr="00575624" w:rsidRDefault="00C87F6A" w:rsidP="00C87F6A">
      <w:pPr>
        <w:tabs>
          <w:tab w:val="left" w:pos="567"/>
        </w:tabs>
        <w:ind w:left="567"/>
        <w:jc w:val="both"/>
        <w:rPr>
          <w:b/>
          <w:sz w:val="21"/>
          <w:szCs w:val="21"/>
        </w:rPr>
      </w:pPr>
    </w:p>
    <w:p w:rsidR="004C3827" w:rsidRPr="00575624" w:rsidRDefault="004C3827" w:rsidP="004C3827">
      <w:pPr>
        <w:tabs>
          <w:tab w:val="left" w:pos="567"/>
        </w:tabs>
        <w:ind w:left="567"/>
        <w:jc w:val="both"/>
        <w:rPr>
          <w:sz w:val="21"/>
          <w:szCs w:val="21"/>
        </w:rPr>
      </w:pPr>
      <w:r w:rsidRPr="00575624">
        <w:rPr>
          <w:sz w:val="21"/>
          <w:szCs w:val="21"/>
        </w:rPr>
        <w:t xml:space="preserve">For the current period under review, the Group’s revenue </w:t>
      </w:r>
      <w:r w:rsidR="00883C8E" w:rsidRPr="00575624">
        <w:rPr>
          <w:sz w:val="21"/>
          <w:szCs w:val="21"/>
        </w:rPr>
        <w:t xml:space="preserve">has </w:t>
      </w:r>
      <w:r w:rsidRPr="00575624">
        <w:rPr>
          <w:sz w:val="21"/>
          <w:szCs w:val="21"/>
        </w:rPr>
        <w:t>decreased by RM44.274 million or 8.9% as compared to the corresponding prior period ended 31 July 2012. The decrease was mainly attributable to decrease in volume of sales from transport and trading businesses.</w:t>
      </w:r>
    </w:p>
    <w:p w:rsidR="004C3827" w:rsidRPr="00575624" w:rsidRDefault="004C3827" w:rsidP="004C3827">
      <w:pPr>
        <w:tabs>
          <w:tab w:val="left" w:pos="567"/>
        </w:tabs>
        <w:ind w:left="567" w:hanging="567"/>
        <w:jc w:val="both"/>
        <w:rPr>
          <w:sz w:val="21"/>
          <w:szCs w:val="21"/>
        </w:rPr>
      </w:pPr>
    </w:p>
    <w:p w:rsidR="00575624" w:rsidRDefault="004C3827" w:rsidP="00EA5FAC">
      <w:pPr>
        <w:tabs>
          <w:tab w:val="left" w:pos="567"/>
        </w:tabs>
        <w:ind w:left="567"/>
        <w:jc w:val="both"/>
        <w:rPr>
          <w:sz w:val="21"/>
          <w:szCs w:val="21"/>
        </w:rPr>
      </w:pPr>
      <w:r w:rsidRPr="00575624">
        <w:rPr>
          <w:sz w:val="21"/>
          <w:szCs w:val="21"/>
        </w:rPr>
        <w:t xml:space="preserve">The Group’s profit before tax for the current period under review </w:t>
      </w:r>
      <w:r w:rsidR="00883C8E" w:rsidRPr="00575624">
        <w:rPr>
          <w:sz w:val="21"/>
          <w:szCs w:val="21"/>
        </w:rPr>
        <w:t xml:space="preserve">has </w:t>
      </w:r>
      <w:r w:rsidRPr="00575624">
        <w:rPr>
          <w:sz w:val="21"/>
          <w:szCs w:val="21"/>
        </w:rPr>
        <w:t xml:space="preserve">increased by RM4.215 million or 15.6% </w:t>
      </w:r>
      <w:r w:rsidR="008C0673">
        <w:rPr>
          <w:sz w:val="21"/>
          <w:szCs w:val="21"/>
        </w:rPr>
        <w:t xml:space="preserve">to RM31.174 million as compared </w:t>
      </w:r>
      <w:r w:rsidRPr="00575624">
        <w:rPr>
          <w:sz w:val="21"/>
          <w:szCs w:val="21"/>
        </w:rPr>
        <w:t>to</w:t>
      </w:r>
      <w:r w:rsidR="008C0673">
        <w:rPr>
          <w:sz w:val="21"/>
          <w:szCs w:val="21"/>
        </w:rPr>
        <w:t xml:space="preserve"> RM26.959 million for</w:t>
      </w:r>
      <w:r w:rsidRPr="00575624">
        <w:rPr>
          <w:sz w:val="21"/>
          <w:szCs w:val="21"/>
        </w:rPr>
        <w:t xml:space="preserve"> the corresponding prior period ended 31 July 2012. The increase was mainly attributable to increase in contribution from marine segment and a joint venture company and </w:t>
      </w:r>
      <w:r w:rsidR="00DA7359" w:rsidRPr="00575624">
        <w:rPr>
          <w:sz w:val="21"/>
          <w:szCs w:val="21"/>
        </w:rPr>
        <w:t>was partly offset</w:t>
      </w:r>
      <w:r w:rsidRPr="00575624">
        <w:rPr>
          <w:sz w:val="21"/>
          <w:szCs w:val="21"/>
        </w:rPr>
        <w:t xml:space="preserve"> by decrease in contribution from trading and transport segments, increase in net borrowing expenses of RM1.6 million, increase in share of loss in associate of RM1.5 million  and increase in exchange loss of about RM3.3 million. </w:t>
      </w:r>
    </w:p>
    <w:p w:rsidR="00414EEF" w:rsidRDefault="00414EEF" w:rsidP="00EA5FAC">
      <w:pPr>
        <w:tabs>
          <w:tab w:val="left" w:pos="567"/>
        </w:tabs>
        <w:ind w:left="567"/>
        <w:jc w:val="both"/>
        <w:rPr>
          <w:sz w:val="21"/>
          <w:szCs w:val="21"/>
        </w:rPr>
      </w:pPr>
    </w:p>
    <w:p w:rsidR="00414EEF" w:rsidRDefault="00414EEF" w:rsidP="00EA5FAC">
      <w:pPr>
        <w:tabs>
          <w:tab w:val="left" w:pos="567"/>
        </w:tabs>
        <w:ind w:left="567"/>
        <w:jc w:val="both"/>
        <w:rPr>
          <w:sz w:val="21"/>
          <w:szCs w:val="21"/>
        </w:rPr>
      </w:pPr>
    </w:p>
    <w:p w:rsidR="00414EEF" w:rsidRDefault="00414EEF" w:rsidP="00EA5FAC">
      <w:pPr>
        <w:tabs>
          <w:tab w:val="left" w:pos="567"/>
        </w:tabs>
        <w:ind w:left="567"/>
        <w:jc w:val="both"/>
        <w:rPr>
          <w:sz w:val="21"/>
          <w:szCs w:val="21"/>
        </w:rPr>
      </w:pPr>
    </w:p>
    <w:p w:rsidR="00414EEF" w:rsidRDefault="00414EEF" w:rsidP="00EA5FAC">
      <w:pPr>
        <w:tabs>
          <w:tab w:val="left" w:pos="567"/>
        </w:tabs>
        <w:ind w:left="567"/>
        <w:jc w:val="both"/>
        <w:rPr>
          <w:sz w:val="21"/>
          <w:szCs w:val="21"/>
        </w:rPr>
      </w:pPr>
    </w:p>
    <w:p w:rsidR="00414EEF" w:rsidRDefault="00414EEF" w:rsidP="00EA5FAC">
      <w:pPr>
        <w:tabs>
          <w:tab w:val="left" w:pos="567"/>
        </w:tabs>
        <w:ind w:left="567"/>
        <w:jc w:val="both"/>
        <w:rPr>
          <w:sz w:val="21"/>
          <w:szCs w:val="21"/>
        </w:rPr>
      </w:pPr>
    </w:p>
    <w:p w:rsidR="00414EEF" w:rsidRDefault="00414EEF" w:rsidP="00EA5FAC">
      <w:pPr>
        <w:tabs>
          <w:tab w:val="left" w:pos="567"/>
        </w:tabs>
        <w:ind w:left="567"/>
        <w:jc w:val="both"/>
        <w:rPr>
          <w:sz w:val="21"/>
          <w:szCs w:val="21"/>
        </w:rPr>
      </w:pPr>
    </w:p>
    <w:p w:rsidR="00414EEF" w:rsidRDefault="00414EEF" w:rsidP="00EA5FAC">
      <w:pPr>
        <w:tabs>
          <w:tab w:val="left" w:pos="567"/>
        </w:tabs>
        <w:ind w:left="567"/>
        <w:jc w:val="both"/>
        <w:rPr>
          <w:sz w:val="21"/>
          <w:szCs w:val="21"/>
        </w:rPr>
      </w:pPr>
    </w:p>
    <w:p w:rsidR="00414EEF" w:rsidRDefault="00414EEF" w:rsidP="00EA5FAC">
      <w:pPr>
        <w:tabs>
          <w:tab w:val="left" w:pos="567"/>
        </w:tabs>
        <w:ind w:left="567"/>
        <w:jc w:val="both"/>
        <w:rPr>
          <w:sz w:val="21"/>
          <w:szCs w:val="21"/>
        </w:rPr>
      </w:pPr>
    </w:p>
    <w:p w:rsidR="00414EEF" w:rsidRDefault="00414EEF" w:rsidP="00EA5FAC">
      <w:pPr>
        <w:tabs>
          <w:tab w:val="left" w:pos="567"/>
        </w:tabs>
        <w:ind w:left="567"/>
        <w:jc w:val="both"/>
        <w:rPr>
          <w:sz w:val="21"/>
          <w:szCs w:val="21"/>
        </w:rPr>
      </w:pPr>
    </w:p>
    <w:p w:rsidR="00414EEF" w:rsidRDefault="00414EEF" w:rsidP="00EA5FAC">
      <w:pPr>
        <w:tabs>
          <w:tab w:val="left" w:pos="567"/>
        </w:tabs>
        <w:ind w:left="567"/>
        <w:jc w:val="both"/>
        <w:rPr>
          <w:sz w:val="21"/>
          <w:szCs w:val="21"/>
        </w:rPr>
      </w:pPr>
    </w:p>
    <w:p w:rsidR="00414EEF" w:rsidRDefault="00414EEF" w:rsidP="00EA5FAC">
      <w:pPr>
        <w:tabs>
          <w:tab w:val="left" w:pos="567"/>
        </w:tabs>
        <w:ind w:left="567"/>
        <w:jc w:val="both"/>
        <w:rPr>
          <w:sz w:val="21"/>
          <w:szCs w:val="21"/>
        </w:rPr>
      </w:pPr>
    </w:p>
    <w:p w:rsidR="00414EEF" w:rsidRDefault="00414EEF" w:rsidP="00EA5FAC">
      <w:pPr>
        <w:tabs>
          <w:tab w:val="left" w:pos="567"/>
        </w:tabs>
        <w:ind w:left="567"/>
        <w:jc w:val="both"/>
        <w:rPr>
          <w:sz w:val="21"/>
          <w:szCs w:val="21"/>
        </w:rPr>
      </w:pPr>
    </w:p>
    <w:p w:rsidR="00414EEF" w:rsidRDefault="00414EEF" w:rsidP="00EA5FAC">
      <w:pPr>
        <w:tabs>
          <w:tab w:val="left" w:pos="567"/>
        </w:tabs>
        <w:ind w:left="567"/>
        <w:jc w:val="both"/>
        <w:rPr>
          <w:sz w:val="21"/>
          <w:szCs w:val="21"/>
        </w:rPr>
      </w:pPr>
    </w:p>
    <w:p w:rsidR="00414EEF" w:rsidRDefault="00414EEF" w:rsidP="00EA5FAC">
      <w:pPr>
        <w:tabs>
          <w:tab w:val="left" w:pos="567"/>
        </w:tabs>
        <w:ind w:left="567"/>
        <w:jc w:val="both"/>
        <w:rPr>
          <w:sz w:val="21"/>
          <w:szCs w:val="21"/>
        </w:rPr>
      </w:pPr>
    </w:p>
    <w:p w:rsidR="00414EEF" w:rsidRDefault="00414EEF" w:rsidP="00EA5FAC">
      <w:pPr>
        <w:tabs>
          <w:tab w:val="left" w:pos="567"/>
        </w:tabs>
        <w:ind w:left="567"/>
        <w:jc w:val="both"/>
        <w:rPr>
          <w:sz w:val="21"/>
          <w:szCs w:val="21"/>
        </w:rPr>
      </w:pPr>
    </w:p>
    <w:p w:rsidR="00414EEF" w:rsidRDefault="00414EEF" w:rsidP="00EA5FAC">
      <w:pPr>
        <w:tabs>
          <w:tab w:val="left" w:pos="567"/>
        </w:tabs>
        <w:ind w:left="567"/>
        <w:jc w:val="both"/>
        <w:rPr>
          <w:sz w:val="21"/>
          <w:szCs w:val="21"/>
        </w:rPr>
      </w:pPr>
    </w:p>
    <w:p w:rsidR="00414EEF" w:rsidRDefault="00414EEF" w:rsidP="00EA5FAC">
      <w:pPr>
        <w:tabs>
          <w:tab w:val="left" w:pos="567"/>
        </w:tabs>
        <w:ind w:left="567"/>
        <w:jc w:val="both"/>
        <w:rPr>
          <w:sz w:val="21"/>
          <w:szCs w:val="21"/>
        </w:rPr>
      </w:pPr>
    </w:p>
    <w:p w:rsidR="00414EEF" w:rsidRDefault="00414EEF" w:rsidP="00EA5FAC">
      <w:pPr>
        <w:tabs>
          <w:tab w:val="left" w:pos="567"/>
        </w:tabs>
        <w:ind w:left="567"/>
        <w:jc w:val="both"/>
        <w:rPr>
          <w:sz w:val="21"/>
          <w:szCs w:val="21"/>
        </w:rPr>
      </w:pPr>
    </w:p>
    <w:p w:rsidR="00414EEF" w:rsidRDefault="00414EEF" w:rsidP="00EA5FAC">
      <w:pPr>
        <w:tabs>
          <w:tab w:val="left" w:pos="567"/>
        </w:tabs>
        <w:ind w:left="567"/>
        <w:jc w:val="both"/>
        <w:rPr>
          <w:sz w:val="21"/>
          <w:szCs w:val="21"/>
        </w:rPr>
      </w:pPr>
    </w:p>
    <w:p w:rsidR="00414EEF" w:rsidRDefault="00414EEF" w:rsidP="00EA5FAC">
      <w:pPr>
        <w:tabs>
          <w:tab w:val="left" w:pos="567"/>
        </w:tabs>
        <w:ind w:left="567"/>
        <w:jc w:val="both"/>
        <w:rPr>
          <w:sz w:val="21"/>
          <w:szCs w:val="21"/>
        </w:rPr>
      </w:pPr>
    </w:p>
    <w:p w:rsidR="00414EEF" w:rsidRDefault="00414EEF" w:rsidP="00EA5FAC">
      <w:pPr>
        <w:tabs>
          <w:tab w:val="left" w:pos="567"/>
        </w:tabs>
        <w:ind w:left="567"/>
        <w:jc w:val="both"/>
        <w:rPr>
          <w:sz w:val="21"/>
          <w:szCs w:val="21"/>
        </w:rPr>
      </w:pPr>
    </w:p>
    <w:p w:rsidR="00414EEF" w:rsidRDefault="00414EEF" w:rsidP="00EA5FAC">
      <w:pPr>
        <w:tabs>
          <w:tab w:val="left" w:pos="567"/>
        </w:tabs>
        <w:ind w:left="567"/>
        <w:jc w:val="both"/>
        <w:rPr>
          <w:sz w:val="21"/>
          <w:szCs w:val="21"/>
        </w:rPr>
      </w:pPr>
    </w:p>
    <w:p w:rsidR="00414EEF" w:rsidRPr="00575624" w:rsidRDefault="00414EEF" w:rsidP="00EA5FAC">
      <w:pPr>
        <w:tabs>
          <w:tab w:val="left" w:pos="567"/>
        </w:tabs>
        <w:ind w:left="567"/>
        <w:jc w:val="both"/>
        <w:rPr>
          <w:sz w:val="21"/>
          <w:szCs w:val="21"/>
        </w:rPr>
      </w:pPr>
    </w:p>
    <w:p w:rsidR="00575624" w:rsidRPr="00575624" w:rsidRDefault="00575624" w:rsidP="00EA5FAC">
      <w:pPr>
        <w:tabs>
          <w:tab w:val="left" w:pos="567"/>
        </w:tabs>
        <w:ind w:left="567"/>
        <w:jc w:val="both"/>
        <w:rPr>
          <w:sz w:val="21"/>
          <w:szCs w:val="21"/>
        </w:rPr>
      </w:pPr>
    </w:p>
    <w:p w:rsidR="008D540D" w:rsidRPr="00575624" w:rsidRDefault="008D540D" w:rsidP="00C47924">
      <w:pPr>
        <w:pStyle w:val="BodyTextIndent"/>
        <w:numPr>
          <w:ilvl w:val="0"/>
          <w:numId w:val="3"/>
        </w:numPr>
        <w:tabs>
          <w:tab w:val="clear" w:pos="360"/>
          <w:tab w:val="left" w:pos="567"/>
        </w:tabs>
        <w:ind w:hanging="720"/>
        <w:jc w:val="both"/>
        <w:rPr>
          <w:b/>
          <w:sz w:val="21"/>
          <w:szCs w:val="21"/>
        </w:rPr>
      </w:pPr>
      <w:r w:rsidRPr="00575624">
        <w:rPr>
          <w:b/>
          <w:sz w:val="21"/>
          <w:szCs w:val="21"/>
        </w:rPr>
        <w:lastRenderedPageBreak/>
        <w:t>Profit Before Tax</w:t>
      </w:r>
    </w:p>
    <w:p w:rsidR="0031521B" w:rsidRPr="00575624" w:rsidRDefault="0031521B" w:rsidP="003E7415">
      <w:pPr>
        <w:pStyle w:val="BodyTextIndent"/>
        <w:tabs>
          <w:tab w:val="clear" w:pos="360"/>
          <w:tab w:val="left" w:pos="567"/>
        </w:tabs>
        <w:ind w:left="567"/>
        <w:jc w:val="both"/>
        <w:rPr>
          <w:sz w:val="21"/>
          <w:szCs w:val="21"/>
        </w:rPr>
      </w:pPr>
    </w:p>
    <w:p w:rsidR="00C94067" w:rsidRPr="00575624" w:rsidRDefault="008D540D" w:rsidP="00396AAD">
      <w:pPr>
        <w:pStyle w:val="BodyTextIndent"/>
        <w:tabs>
          <w:tab w:val="clear" w:pos="360"/>
          <w:tab w:val="left" w:pos="567"/>
        </w:tabs>
        <w:ind w:left="567"/>
        <w:jc w:val="both"/>
        <w:rPr>
          <w:sz w:val="21"/>
          <w:szCs w:val="21"/>
        </w:rPr>
      </w:pPr>
      <w:r w:rsidRPr="00575624">
        <w:rPr>
          <w:sz w:val="21"/>
          <w:szCs w:val="21"/>
        </w:rPr>
        <w:t>Included in the profit before tax are the following item</w:t>
      </w:r>
      <w:bookmarkStart w:id="89" w:name="_MON_1401952691"/>
      <w:bookmarkStart w:id="90" w:name="_MON_1401952771"/>
      <w:bookmarkStart w:id="91" w:name="_MON_1401952932"/>
      <w:bookmarkStart w:id="92" w:name="_MON_1401953051"/>
      <w:bookmarkStart w:id="93" w:name="_MON_1401953065"/>
      <w:bookmarkStart w:id="94" w:name="_MON_1401953101"/>
      <w:bookmarkStart w:id="95" w:name="_MON_1401953113"/>
      <w:bookmarkStart w:id="96" w:name="_MON_1401953125"/>
      <w:bookmarkStart w:id="97" w:name="_MON_1401953147"/>
      <w:bookmarkStart w:id="98" w:name="_MON_1401953163"/>
      <w:bookmarkStart w:id="99" w:name="_MON_1401953230"/>
      <w:bookmarkStart w:id="100" w:name="_MON_1401953260"/>
      <w:bookmarkStart w:id="101" w:name="_MON_1401953282"/>
      <w:bookmarkStart w:id="102" w:name="_MON_1401953495"/>
      <w:bookmarkStart w:id="103" w:name="_MON_1401953540"/>
      <w:bookmarkStart w:id="104" w:name="_MON_1401953563"/>
      <w:bookmarkStart w:id="105" w:name="_MON_1401953704"/>
      <w:bookmarkStart w:id="106" w:name="_MON_1401953751"/>
      <w:bookmarkStart w:id="107" w:name="_MON_1401953767"/>
      <w:bookmarkStart w:id="108" w:name="_MON_1401953776"/>
      <w:bookmarkStart w:id="109" w:name="_MON_1401953796"/>
      <w:bookmarkStart w:id="110" w:name="_MON_1401953850"/>
      <w:bookmarkStart w:id="111" w:name="_MON_1401953891"/>
      <w:bookmarkStart w:id="112" w:name="_MON_1401953943"/>
      <w:bookmarkStart w:id="113" w:name="_MON_1401954010"/>
      <w:bookmarkStart w:id="114" w:name="_MON_1401954151"/>
      <w:bookmarkStart w:id="115" w:name="_MON_1401873167"/>
      <w:bookmarkStart w:id="116" w:name="_MON_1401947468"/>
      <w:bookmarkStart w:id="117" w:name="_MON_1401951218"/>
      <w:bookmarkStart w:id="118" w:name="_MON_1401951500"/>
      <w:bookmarkStart w:id="119" w:name="_MON_1401951653"/>
      <w:bookmarkStart w:id="120" w:name="_MON_1401951788"/>
      <w:bookmarkStart w:id="121" w:name="_MON_1401951803"/>
      <w:bookmarkStart w:id="122" w:name="_MON_1401951818"/>
      <w:bookmarkStart w:id="123" w:name="_MON_1401951824"/>
      <w:bookmarkStart w:id="124" w:name="_MON_1401951840"/>
      <w:bookmarkStart w:id="125" w:name="_MON_1401951885"/>
      <w:bookmarkStart w:id="126" w:name="_MON_1401951952"/>
      <w:bookmarkStart w:id="127" w:name="_MON_1401951981"/>
      <w:bookmarkStart w:id="128" w:name="_MON_1401952001"/>
      <w:bookmarkStart w:id="129" w:name="_MON_1401952235"/>
      <w:bookmarkStart w:id="130" w:name="_MON_1401952265"/>
      <w:bookmarkStart w:id="131" w:name="_MON_1409480095"/>
      <w:bookmarkStart w:id="132" w:name="_MON_1409480290"/>
      <w:bookmarkStart w:id="133" w:name="_MON_1409480334"/>
      <w:bookmarkStart w:id="134" w:name="_MON_1401952309"/>
      <w:bookmarkStart w:id="135" w:name="_MON_1409480652"/>
      <w:bookmarkStart w:id="136" w:name="_MON_1401952512"/>
      <w:bookmarkStart w:id="137" w:name="_MON_1409482837"/>
      <w:bookmarkStart w:id="138" w:name="_MON_1409499702"/>
      <w:bookmarkStart w:id="139" w:name="_MON_1409499764"/>
      <w:bookmarkStart w:id="140" w:name="_MON_1409500933"/>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0031521B" w:rsidRPr="00575624">
        <w:rPr>
          <w:sz w:val="21"/>
          <w:szCs w:val="21"/>
        </w:rPr>
        <w:t>s</w:t>
      </w:r>
      <w:bookmarkStart w:id="141" w:name="_MON_1410097575"/>
      <w:bookmarkStart w:id="142" w:name="_MON_1409560969"/>
      <w:bookmarkStart w:id="143" w:name="_MON_1409560977"/>
      <w:bookmarkStart w:id="144" w:name="_MON_1409562815"/>
      <w:bookmarkStart w:id="145" w:name="_MON_1409562829"/>
      <w:bookmarkStart w:id="146" w:name="_MON_1409562978"/>
      <w:bookmarkStart w:id="147" w:name="_MON_1401952547"/>
      <w:bookmarkStart w:id="148" w:name="_MON_1409566407"/>
      <w:bookmarkStart w:id="149" w:name="_MON_1409557727"/>
      <w:bookmarkStart w:id="150" w:name="_MON_1409558141"/>
      <w:bookmarkStart w:id="151" w:name="_MON_1409558148"/>
      <w:bookmarkStart w:id="152" w:name="_MON_1409560749"/>
      <w:bookmarkStart w:id="153" w:name="_MON_1409560765"/>
      <w:bookmarkStart w:id="154" w:name="_MON_1409560803"/>
      <w:bookmarkStart w:id="155" w:name="_MON_1409993869"/>
      <w:bookmarkStart w:id="156" w:name="_MON_1409993977"/>
      <w:bookmarkStart w:id="157" w:name="_MON_1409560814"/>
      <w:bookmarkStart w:id="158" w:name="_MON_1409560842"/>
      <w:bookmarkStart w:id="159" w:name="_MON_1409560856"/>
      <w:bookmarkStart w:id="160" w:name="_MON_1409560948"/>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C94067" w:rsidRPr="00575624" w:rsidRDefault="00C94067" w:rsidP="00396AAD">
      <w:pPr>
        <w:pStyle w:val="BodyTextIndent"/>
        <w:tabs>
          <w:tab w:val="clear" w:pos="360"/>
          <w:tab w:val="left" w:pos="567"/>
        </w:tabs>
        <w:ind w:left="567"/>
        <w:jc w:val="both"/>
        <w:rPr>
          <w:sz w:val="21"/>
          <w:szCs w:val="21"/>
        </w:rPr>
      </w:pPr>
    </w:p>
    <w:bookmarkStart w:id="161" w:name="_MON_1409560964"/>
    <w:bookmarkEnd w:id="161"/>
    <w:p w:rsidR="00C94067" w:rsidRPr="00575624" w:rsidRDefault="00F05679" w:rsidP="00396AAD">
      <w:pPr>
        <w:pStyle w:val="BodyTextIndent"/>
        <w:tabs>
          <w:tab w:val="clear" w:pos="360"/>
          <w:tab w:val="left" w:pos="567"/>
        </w:tabs>
        <w:ind w:left="567"/>
        <w:jc w:val="both"/>
        <w:rPr>
          <w:sz w:val="21"/>
          <w:szCs w:val="21"/>
        </w:rPr>
      </w:pPr>
      <w:r w:rsidRPr="00575624">
        <w:rPr>
          <w:sz w:val="21"/>
          <w:szCs w:val="21"/>
        </w:rPr>
        <w:object w:dxaOrig="8929" w:dyaOrig="10795">
          <v:shape id="_x0000_i1028" type="#_x0000_t75" style="width:445.1pt;height:451.1pt" o:ole="">
            <v:imagedata r:id="rId15" o:title=""/>
          </v:shape>
          <o:OLEObject Type="Embed" ProgID="Excel.Sheet.12" ShapeID="_x0000_i1028" DrawAspect="Content" ObjectID="_1441724958" r:id="rId16"/>
        </w:object>
      </w:r>
      <w:bookmarkStart w:id="162" w:name="_MON_1393745639"/>
      <w:bookmarkStart w:id="163" w:name="_MON_1394433667"/>
      <w:bookmarkStart w:id="164" w:name="_MON_1394434313"/>
      <w:bookmarkStart w:id="165" w:name="_MON_1393745658"/>
      <w:bookmarkStart w:id="166" w:name="_MON_1393745828"/>
      <w:bookmarkStart w:id="167" w:name="_MON_1394531837"/>
      <w:bookmarkStart w:id="168" w:name="_MON_1394531912"/>
      <w:bookmarkStart w:id="169" w:name="_MON_1393746353"/>
      <w:bookmarkStart w:id="170" w:name="_MON_1394554124"/>
      <w:bookmarkStart w:id="171" w:name="_MON_1394554202"/>
      <w:bookmarkStart w:id="172" w:name="_MON_1393746521"/>
      <w:bookmarkStart w:id="173" w:name="_MON_1394556488"/>
      <w:bookmarkStart w:id="174" w:name="_MON_1394556664"/>
      <w:bookmarkStart w:id="175" w:name="_MON_1393746628"/>
      <w:bookmarkStart w:id="176" w:name="_MON_1393746638"/>
      <w:bookmarkStart w:id="177" w:name="_MON_1393746662"/>
      <w:bookmarkStart w:id="178" w:name="_MON_1394093843"/>
      <w:bookmarkStart w:id="179" w:name="_MON_1394100471"/>
      <w:bookmarkStart w:id="180" w:name="_MON_1394292824"/>
      <w:bookmarkStart w:id="181" w:name="_MON_1394292917"/>
      <w:bookmarkStart w:id="182" w:name="_MON_1394346888"/>
      <w:bookmarkStart w:id="183" w:name="_MON_1394360631"/>
      <w:bookmarkStart w:id="184" w:name="_MON_1401343694"/>
      <w:bookmarkStart w:id="185" w:name="_MON_1401343912"/>
      <w:bookmarkStart w:id="186" w:name="_MON_1401344029"/>
      <w:bookmarkStart w:id="187" w:name="_MON_1401344036"/>
      <w:bookmarkStart w:id="188" w:name="_MON_1401344092"/>
      <w:bookmarkStart w:id="189" w:name="_MON_1394363667"/>
      <w:bookmarkStart w:id="190" w:name="_MON_1393745532"/>
      <w:bookmarkStart w:id="191" w:name="_MON_1394380937"/>
      <w:bookmarkStart w:id="192" w:name="_MON_1393745538"/>
      <w:bookmarkStart w:id="193" w:name="_MON_1401801547"/>
      <w:bookmarkStart w:id="194" w:name="_MON_1401801552"/>
      <w:bookmarkStart w:id="195" w:name="_MON_1401801560"/>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E91CD7" w:rsidRPr="00575624" w:rsidRDefault="00E91CD7" w:rsidP="00C47924">
      <w:pPr>
        <w:pStyle w:val="BodyTextIndent"/>
        <w:numPr>
          <w:ilvl w:val="0"/>
          <w:numId w:val="3"/>
        </w:numPr>
        <w:tabs>
          <w:tab w:val="clear" w:pos="360"/>
          <w:tab w:val="left" w:pos="567"/>
        </w:tabs>
        <w:ind w:left="567" w:hanging="567"/>
        <w:jc w:val="both"/>
        <w:rPr>
          <w:b/>
          <w:sz w:val="21"/>
          <w:szCs w:val="21"/>
        </w:rPr>
      </w:pPr>
      <w:r w:rsidRPr="00575624">
        <w:rPr>
          <w:b/>
          <w:sz w:val="21"/>
          <w:szCs w:val="21"/>
        </w:rPr>
        <w:t>Income Tax Expense</w:t>
      </w:r>
    </w:p>
    <w:p w:rsidR="00C94067" w:rsidRPr="00575624" w:rsidRDefault="00C94067" w:rsidP="00E91CD7">
      <w:pPr>
        <w:pStyle w:val="BodyTextIndent"/>
        <w:tabs>
          <w:tab w:val="clear" w:pos="360"/>
          <w:tab w:val="left" w:pos="567"/>
        </w:tabs>
        <w:ind w:left="567"/>
        <w:jc w:val="both"/>
        <w:rPr>
          <w:sz w:val="21"/>
          <w:szCs w:val="21"/>
        </w:rPr>
      </w:pPr>
    </w:p>
    <w:p w:rsidR="00E91CD7" w:rsidRPr="00575624" w:rsidRDefault="00E91CD7" w:rsidP="00E91CD7">
      <w:pPr>
        <w:pStyle w:val="BodyTextIndent"/>
        <w:tabs>
          <w:tab w:val="clear" w:pos="360"/>
          <w:tab w:val="left" w:pos="567"/>
        </w:tabs>
        <w:ind w:left="567"/>
        <w:jc w:val="both"/>
        <w:rPr>
          <w:sz w:val="21"/>
          <w:szCs w:val="21"/>
        </w:rPr>
      </w:pPr>
      <w:r w:rsidRPr="00575624">
        <w:rPr>
          <w:sz w:val="21"/>
          <w:szCs w:val="21"/>
        </w:rPr>
        <w:t xml:space="preserve">The </w:t>
      </w:r>
      <w:r w:rsidR="00593516" w:rsidRPr="00575624">
        <w:rPr>
          <w:sz w:val="21"/>
          <w:szCs w:val="21"/>
        </w:rPr>
        <w:t>income tax expense</w:t>
      </w:r>
      <w:r w:rsidRPr="00575624">
        <w:rPr>
          <w:sz w:val="21"/>
          <w:szCs w:val="21"/>
        </w:rPr>
        <w:t xml:space="preserve"> figures consist of:</w:t>
      </w:r>
    </w:p>
    <w:bookmarkStart w:id="196" w:name="_MON_1409481250"/>
    <w:bookmarkStart w:id="197" w:name="_MON_1409481270"/>
    <w:bookmarkStart w:id="198" w:name="_MON_1409481290"/>
    <w:bookmarkStart w:id="199" w:name="_MON_1409481311"/>
    <w:bookmarkStart w:id="200" w:name="_MON_1409481356"/>
    <w:bookmarkStart w:id="201" w:name="_MON_1369751472"/>
    <w:bookmarkStart w:id="202" w:name="_MON_1369751567"/>
    <w:bookmarkStart w:id="203" w:name="_MON_1369751652"/>
    <w:bookmarkStart w:id="204" w:name="_MON_1409566327"/>
    <w:bookmarkStart w:id="205" w:name="_MON_1377498797"/>
    <w:bookmarkStart w:id="206" w:name="_MON_1377498831"/>
    <w:bookmarkStart w:id="207" w:name="_MON_1377498981"/>
    <w:bookmarkStart w:id="208" w:name="_MON_1378109416"/>
    <w:bookmarkStart w:id="209" w:name="_MON_1378110645"/>
    <w:bookmarkStart w:id="210" w:name="_MON_1378110771"/>
    <w:bookmarkStart w:id="211" w:name="_MON_1409993995"/>
    <w:bookmarkStart w:id="212" w:name="_MON_1378110891"/>
    <w:bookmarkStart w:id="213" w:name="_MON_1380021164"/>
    <w:bookmarkStart w:id="214" w:name="_MON_1385392077"/>
    <w:bookmarkStart w:id="215" w:name="_MON_1385546305"/>
    <w:bookmarkStart w:id="216" w:name="_MON_1393680905"/>
    <w:bookmarkStart w:id="217" w:name="_MON_1393680973"/>
    <w:bookmarkStart w:id="218" w:name="_MON_1393681162"/>
    <w:bookmarkStart w:id="219" w:name="_MON_1393745647"/>
    <w:bookmarkStart w:id="220" w:name="_MON_1394093813"/>
    <w:bookmarkStart w:id="221" w:name="_MON_1394099954"/>
    <w:bookmarkStart w:id="222" w:name="_MON_1394100003"/>
    <w:bookmarkStart w:id="223" w:name="_MON_1394274537"/>
    <w:bookmarkStart w:id="224" w:name="_MON_1394288181"/>
    <w:bookmarkStart w:id="225" w:name="_MON_1394346906"/>
    <w:bookmarkStart w:id="226" w:name="_MON_1394360640"/>
    <w:bookmarkStart w:id="227" w:name="_MON_1394361127"/>
    <w:bookmarkStart w:id="228" w:name="_MON_1251794911"/>
    <w:bookmarkStart w:id="229" w:name="_MON_1394380955"/>
    <w:bookmarkStart w:id="230" w:name="_MON_1394381031"/>
    <w:bookmarkStart w:id="231" w:name="_MON_1251795206"/>
    <w:bookmarkStart w:id="232" w:name="_MON_1251797569"/>
    <w:bookmarkStart w:id="233" w:name="_MON_1394433691"/>
    <w:bookmarkStart w:id="234" w:name="_MON_1251896447"/>
    <w:bookmarkStart w:id="235" w:name="_MON_1252306652"/>
    <w:bookmarkStart w:id="236" w:name="_MON_1394531943"/>
    <w:bookmarkStart w:id="237" w:name="_MON_1252388862"/>
    <w:bookmarkStart w:id="238" w:name="_MON_1283176106"/>
    <w:bookmarkStart w:id="239" w:name="_MON_1283242235"/>
    <w:bookmarkStart w:id="240" w:name="_MON_1283338349"/>
    <w:bookmarkStart w:id="241" w:name="_MON_1283755585"/>
    <w:bookmarkStart w:id="242" w:name="_MON_1314186208"/>
    <w:bookmarkStart w:id="243" w:name="_MON_1314186260"/>
    <w:bookmarkStart w:id="244" w:name="_MON_1314186385"/>
    <w:bookmarkStart w:id="245" w:name="_MON_1314429297"/>
    <w:bookmarkStart w:id="246" w:name="_MON_1314630238"/>
    <w:bookmarkStart w:id="247" w:name="_MON_1322306381"/>
    <w:bookmarkStart w:id="248" w:name="_MON_1401344071"/>
    <w:bookmarkStart w:id="249" w:name="_MON_1401344111"/>
    <w:bookmarkStart w:id="250" w:name="_MON_1401344247"/>
    <w:bookmarkStart w:id="251" w:name="_MON_1401344397"/>
    <w:bookmarkStart w:id="252" w:name="_MON_1401344540"/>
    <w:bookmarkStart w:id="253" w:name="_MON_1322306388"/>
    <w:bookmarkStart w:id="254" w:name="_MON_1401359305"/>
    <w:bookmarkStart w:id="255" w:name="_MON_1322306455"/>
    <w:bookmarkStart w:id="256" w:name="_MON_1322307356"/>
    <w:bookmarkStart w:id="257" w:name="_MON_1330327656"/>
    <w:bookmarkStart w:id="258" w:name="_MON_1330955797"/>
    <w:bookmarkStart w:id="259" w:name="_MON_1330956014"/>
    <w:bookmarkStart w:id="260" w:name="_MON_1330956159"/>
    <w:bookmarkStart w:id="261" w:name="_MON_1330956357"/>
    <w:bookmarkStart w:id="262" w:name="_MON_1331013983"/>
    <w:bookmarkStart w:id="263" w:name="_MON_1338219705"/>
    <w:bookmarkStart w:id="264" w:name="_MON_1338219858"/>
    <w:bookmarkStart w:id="265" w:name="_MON_1338219869"/>
    <w:bookmarkStart w:id="266" w:name="_MON_1338219892"/>
    <w:bookmarkStart w:id="267" w:name="_MON_1338220018"/>
    <w:bookmarkStart w:id="268" w:name="_MON_1338220027"/>
    <w:bookmarkStart w:id="269" w:name="_MON_1401954207"/>
    <w:bookmarkStart w:id="270" w:name="_MON_1338220047"/>
    <w:bookmarkStart w:id="271" w:name="_MON_1338393881"/>
    <w:bookmarkStart w:id="272" w:name="_MON_1346054843"/>
    <w:bookmarkStart w:id="273" w:name="_MON_1401956579"/>
    <w:bookmarkStart w:id="274" w:name="_MON_1401956591"/>
    <w:bookmarkStart w:id="275" w:name="_MON_1346055050"/>
    <w:bookmarkStart w:id="276" w:name="_MON_1346055062"/>
    <w:bookmarkStart w:id="277" w:name="_MON_1346066888"/>
    <w:bookmarkStart w:id="278" w:name="_MON_1346505460"/>
    <w:bookmarkStart w:id="279" w:name="_MON_1353911452"/>
    <w:bookmarkStart w:id="280" w:name="_MON_1353911503"/>
    <w:bookmarkStart w:id="281" w:name="_MON_1354347096"/>
    <w:bookmarkStart w:id="282" w:name="_MON_1354374801"/>
    <w:bookmarkStart w:id="283" w:name="_MON_1361793282"/>
    <w:bookmarkStart w:id="284" w:name="_MON_1361862788"/>
    <w:bookmarkStart w:id="285" w:name="_MON_1361875686"/>
    <w:bookmarkStart w:id="286" w:name="_MON_1362471882"/>
    <w:bookmarkStart w:id="287" w:name="_MON_1362575512"/>
    <w:bookmarkStart w:id="288" w:name="_MON_1409480350"/>
    <w:bookmarkStart w:id="289" w:name="_MON_1409480397"/>
    <w:bookmarkStart w:id="290" w:name="_MON_1362575533"/>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Start w:id="291" w:name="_MON_1409481193"/>
    <w:bookmarkEnd w:id="291"/>
    <w:p w:rsidR="00E91CD7" w:rsidRPr="00575624" w:rsidRDefault="00F05679" w:rsidP="00951BB1">
      <w:pPr>
        <w:pStyle w:val="BodyTextIndent"/>
        <w:tabs>
          <w:tab w:val="clear" w:pos="360"/>
          <w:tab w:val="left" w:pos="567"/>
        </w:tabs>
        <w:ind w:left="567" w:right="-511" w:hanging="567"/>
        <w:jc w:val="both"/>
        <w:rPr>
          <w:sz w:val="21"/>
          <w:szCs w:val="21"/>
        </w:rPr>
      </w:pPr>
      <w:r w:rsidRPr="00575624">
        <w:rPr>
          <w:sz w:val="21"/>
          <w:szCs w:val="21"/>
        </w:rPr>
        <w:object w:dxaOrig="9415" w:dyaOrig="2892">
          <v:shape id="_x0000_i1029" type="#_x0000_t75" style="width:471.25pt;height:145.1pt" o:ole="">
            <v:imagedata r:id="rId17" o:title=""/>
          </v:shape>
          <o:OLEObject Type="Embed" ProgID="Excel.Sheet.8" ShapeID="_x0000_i1029" DrawAspect="Content" ObjectID="_1441724959" r:id="rId18"/>
        </w:object>
      </w:r>
    </w:p>
    <w:p w:rsidR="00951BB1" w:rsidRPr="00575624" w:rsidRDefault="00951BB1" w:rsidP="00951BB1">
      <w:pPr>
        <w:pStyle w:val="BodyTextIndent"/>
        <w:tabs>
          <w:tab w:val="clear" w:pos="360"/>
          <w:tab w:val="left" w:pos="567"/>
        </w:tabs>
        <w:ind w:left="567" w:right="-511" w:hanging="567"/>
        <w:jc w:val="both"/>
        <w:rPr>
          <w:sz w:val="21"/>
          <w:szCs w:val="21"/>
        </w:rPr>
      </w:pPr>
    </w:p>
    <w:p w:rsidR="00951BB1" w:rsidRPr="00575624" w:rsidRDefault="00E91CD7" w:rsidP="00EA5FAC">
      <w:pPr>
        <w:pStyle w:val="BodyTextIndent"/>
        <w:tabs>
          <w:tab w:val="clear" w:pos="360"/>
          <w:tab w:val="left" w:pos="567"/>
        </w:tabs>
        <w:ind w:left="567"/>
        <w:jc w:val="both"/>
        <w:rPr>
          <w:sz w:val="21"/>
          <w:szCs w:val="21"/>
        </w:rPr>
      </w:pPr>
      <w:r w:rsidRPr="00575624">
        <w:rPr>
          <w:sz w:val="21"/>
          <w:szCs w:val="21"/>
        </w:rPr>
        <w:lastRenderedPageBreak/>
        <w:t xml:space="preserve">The effective tax rate of the Group is lower than the statutory </w:t>
      </w:r>
      <w:r w:rsidR="00593516" w:rsidRPr="00575624">
        <w:rPr>
          <w:sz w:val="21"/>
          <w:szCs w:val="21"/>
        </w:rPr>
        <w:t xml:space="preserve">tax </w:t>
      </w:r>
      <w:r w:rsidRPr="00575624">
        <w:rPr>
          <w:sz w:val="21"/>
          <w:szCs w:val="21"/>
        </w:rPr>
        <w:t>rate in Malaysia due to certain income</w:t>
      </w:r>
      <w:r w:rsidR="00F86DF7" w:rsidRPr="00575624">
        <w:rPr>
          <w:sz w:val="21"/>
          <w:szCs w:val="21"/>
        </w:rPr>
        <w:t>s</w:t>
      </w:r>
      <w:r w:rsidRPr="00575624">
        <w:rPr>
          <w:sz w:val="21"/>
          <w:szCs w:val="21"/>
        </w:rPr>
        <w:t xml:space="preserve"> </w:t>
      </w:r>
      <w:r w:rsidR="00593516" w:rsidRPr="00575624">
        <w:rPr>
          <w:sz w:val="21"/>
          <w:szCs w:val="21"/>
        </w:rPr>
        <w:t>are</w:t>
      </w:r>
      <w:r w:rsidR="00F86DF7" w:rsidRPr="00575624">
        <w:rPr>
          <w:sz w:val="21"/>
          <w:szCs w:val="21"/>
        </w:rPr>
        <w:t xml:space="preserve"> </w:t>
      </w:r>
      <w:r w:rsidRPr="00575624">
        <w:rPr>
          <w:sz w:val="21"/>
          <w:szCs w:val="21"/>
        </w:rPr>
        <w:t xml:space="preserve">not subject to taxation </w:t>
      </w:r>
      <w:r w:rsidR="00654FA0" w:rsidRPr="00575624">
        <w:rPr>
          <w:sz w:val="21"/>
          <w:szCs w:val="21"/>
        </w:rPr>
        <w:t xml:space="preserve">and certain income </w:t>
      </w:r>
      <w:r w:rsidR="00593516" w:rsidRPr="00575624">
        <w:rPr>
          <w:sz w:val="21"/>
          <w:szCs w:val="21"/>
        </w:rPr>
        <w:t xml:space="preserve">of subsidiaries are subject </w:t>
      </w:r>
      <w:proofErr w:type="gramStart"/>
      <w:r w:rsidR="00593516" w:rsidRPr="00575624">
        <w:rPr>
          <w:sz w:val="21"/>
          <w:szCs w:val="21"/>
        </w:rPr>
        <w:t>to  lower</w:t>
      </w:r>
      <w:proofErr w:type="gramEnd"/>
      <w:r w:rsidR="00593516" w:rsidRPr="00575624">
        <w:rPr>
          <w:sz w:val="21"/>
          <w:szCs w:val="21"/>
        </w:rPr>
        <w:t xml:space="preserve"> tax </w:t>
      </w:r>
      <w:r w:rsidR="00C94067" w:rsidRPr="00575624">
        <w:rPr>
          <w:sz w:val="21"/>
          <w:szCs w:val="21"/>
        </w:rPr>
        <w:t>rates.</w:t>
      </w:r>
    </w:p>
    <w:p w:rsidR="00C94067" w:rsidRPr="00575624" w:rsidRDefault="00C94067" w:rsidP="00EA5FAC">
      <w:pPr>
        <w:pStyle w:val="BodyTextIndent"/>
        <w:tabs>
          <w:tab w:val="clear" w:pos="360"/>
          <w:tab w:val="left" w:pos="567"/>
        </w:tabs>
        <w:ind w:left="567"/>
        <w:jc w:val="both"/>
        <w:rPr>
          <w:strike/>
          <w:sz w:val="21"/>
          <w:szCs w:val="21"/>
        </w:rPr>
      </w:pPr>
    </w:p>
    <w:p w:rsidR="00E91CD7" w:rsidRPr="00575624" w:rsidRDefault="00E91CD7" w:rsidP="00C47924">
      <w:pPr>
        <w:pStyle w:val="BodyTextIndent2"/>
        <w:numPr>
          <w:ilvl w:val="0"/>
          <w:numId w:val="3"/>
        </w:numPr>
        <w:tabs>
          <w:tab w:val="left" w:pos="567"/>
        </w:tabs>
        <w:ind w:left="567" w:hanging="567"/>
        <w:rPr>
          <w:b/>
          <w:sz w:val="21"/>
          <w:szCs w:val="21"/>
        </w:rPr>
      </w:pPr>
      <w:r w:rsidRPr="00575624">
        <w:rPr>
          <w:b/>
          <w:sz w:val="21"/>
          <w:szCs w:val="21"/>
        </w:rPr>
        <w:t>Earnings Per Share</w:t>
      </w:r>
    </w:p>
    <w:p w:rsidR="00E91CD7" w:rsidRPr="00575624" w:rsidRDefault="00E91CD7" w:rsidP="00E91CD7">
      <w:pPr>
        <w:pStyle w:val="BodyTextIndent2"/>
        <w:tabs>
          <w:tab w:val="left" w:pos="567"/>
        </w:tabs>
        <w:ind w:left="567" w:hanging="567"/>
        <w:rPr>
          <w:sz w:val="21"/>
          <w:szCs w:val="21"/>
        </w:rPr>
      </w:pPr>
      <w:r w:rsidRPr="00575624">
        <w:rPr>
          <w:sz w:val="21"/>
          <w:szCs w:val="21"/>
        </w:rPr>
        <w:tab/>
      </w:r>
    </w:p>
    <w:p w:rsidR="00E91CD7" w:rsidRPr="00575624" w:rsidRDefault="00E91CD7" w:rsidP="00D04FC6">
      <w:pPr>
        <w:pStyle w:val="BodyTextIndent2"/>
        <w:numPr>
          <w:ilvl w:val="0"/>
          <w:numId w:val="1"/>
        </w:numPr>
        <w:tabs>
          <w:tab w:val="clear" w:pos="1080"/>
          <w:tab w:val="left" w:pos="567"/>
          <w:tab w:val="num" w:pos="993"/>
        </w:tabs>
        <w:ind w:left="567" w:firstLine="0"/>
        <w:rPr>
          <w:sz w:val="21"/>
          <w:szCs w:val="21"/>
        </w:rPr>
      </w:pPr>
      <w:r w:rsidRPr="00575624">
        <w:rPr>
          <w:b/>
          <w:sz w:val="21"/>
          <w:szCs w:val="21"/>
        </w:rPr>
        <w:t xml:space="preserve">Basic </w:t>
      </w:r>
    </w:p>
    <w:p w:rsidR="00396AAD" w:rsidRPr="00575624" w:rsidRDefault="00396AAD" w:rsidP="00593516">
      <w:pPr>
        <w:pStyle w:val="BodyTextIndent2"/>
        <w:tabs>
          <w:tab w:val="left" w:pos="567"/>
        </w:tabs>
        <w:ind w:left="567"/>
        <w:rPr>
          <w:sz w:val="21"/>
          <w:szCs w:val="21"/>
        </w:rPr>
      </w:pPr>
    </w:p>
    <w:p w:rsidR="00E51D2D" w:rsidRPr="00575624" w:rsidRDefault="00E91CD7" w:rsidP="00E91CD7">
      <w:pPr>
        <w:pStyle w:val="BodyTextIndent2"/>
        <w:tabs>
          <w:tab w:val="left" w:pos="567"/>
        </w:tabs>
        <w:ind w:left="567"/>
        <w:rPr>
          <w:sz w:val="21"/>
          <w:szCs w:val="21"/>
        </w:rPr>
      </w:pPr>
      <w:r w:rsidRPr="00575624">
        <w:rPr>
          <w:sz w:val="21"/>
          <w:szCs w:val="21"/>
        </w:rPr>
        <w:t xml:space="preserve">Basic earnings per share amount are calculated by dividing the profit for the </w:t>
      </w:r>
      <w:r w:rsidR="00F86DF7" w:rsidRPr="00575624">
        <w:rPr>
          <w:sz w:val="21"/>
          <w:szCs w:val="21"/>
        </w:rPr>
        <w:t xml:space="preserve">current </w:t>
      </w:r>
      <w:r w:rsidR="004D484C" w:rsidRPr="00575624">
        <w:rPr>
          <w:sz w:val="21"/>
          <w:szCs w:val="21"/>
        </w:rPr>
        <w:t xml:space="preserve">and cumulative </w:t>
      </w:r>
      <w:r w:rsidR="00F86DF7" w:rsidRPr="00575624">
        <w:rPr>
          <w:sz w:val="21"/>
          <w:szCs w:val="21"/>
        </w:rPr>
        <w:t>quarter of 2013</w:t>
      </w:r>
      <w:r w:rsidR="00E51D2D" w:rsidRPr="00575624">
        <w:rPr>
          <w:sz w:val="21"/>
          <w:szCs w:val="21"/>
        </w:rPr>
        <w:t>, net of tax, attributable to owners of the parent</w:t>
      </w:r>
      <w:r w:rsidRPr="00575624">
        <w:rPr>
          <w:sz w:val="21"/>
          <w:szCs w:val="21"/>
        </w:rPr>
        <w:t xml:space="preserve"> by the weighted average number of shares in issue during the period.</w:t>
      </w:r>
    </w:p>
    <w:p w:rsidR="00E51D2D" w:rsidRPr="00575624" w:rsidRDefault="00E51D2D" w:rsidP="00E91CD7">
      <w:pPr>
        <w:pStyle w:val="BodyTextIndent2"/>
        <w:tabs>
          <w:tab w:val="left" w:pos="567"/>
        </w:tabs>
        <w:ind w:left="567"/>
        <w:rPr>
          <w:sz w:val="21"/>
          <w:szCs w:val="21"/>
        </w:rPr>
      </w:pPr>
    </w:p>
    <w:p w:rsidR="00C00744" w:rsidRPr="00575624" w:rsidRDefault="00DE5146" w:rsidP="00EF3548">
      <w:pPr>
        <w:pStyle w:val="BodyTextIndent2"/>
        <w:tabs>
          <w:tab w:val="left" w:pos="567"/>
        </w:tabs>
        <w:ind w:left="567"/>
        <w:rPr>
          <w:sz w:val="21"/>
          <w:szCs w:val="21"/>
        </w:rPr>
      </w:pPr>
      <w:r>
        <w:rPr>
          <w:noProof/>
          <w:sz w:val="21"/>
          <w:szCs w:val="21"/>
        </w:rPr>
        <w:pict>
          <v:shape id="_x0000_s1040" type="#_x0000_t75" style="position:absolute;left:0;text-align:left;margin-left:-1.65pt;margin-top:32.4pt;width:505.8pt;height:169.8pt;z-index:251659264;mso-position-horizontal-relative:text;mso-position-vertical-relative:text">
            <v:imagedata r:id="rId19" o:title=""/>
            <w10:wrap type="square" side="right"/>
          </v:shape>
          <o:OLEObject Type="Embed" ProgID="Excel.Sheet.12" ShapeID="_x0000_s1040" DrawAspect="Content" ObjectID="_1441724966" r:id="rId20"/>
        </w:pict>
      </w:r>
      <w:r w:rsidR="00E51D2D" w:rsidRPr="00575624">
        <w:rPr>
          <w:sz w:val="21"/>
          <w:szCs w:val="21"/>
        </w:rPr>
        <w:t>The following reflect the profit and share data used in the computation of basic and diluted earnings per share:</w:t>
      </w:r>
      <w:bookmarkStart w:id="292" w:name="_MON_1394360874"/>
      <w:bookmarkStart w:id="293" w:name="_MON_1401954924"/>
      <w:bookmarkStart w:id="294" w:name="_MON_1394360947"/>
      <w:bookmarkStart w:id="295" w:name="_MON_1394433761"/>
      <w:bookmarkStart w:id="296" w:name="_MON_1394360972"/>
      <w:bookmarkStart w:id="297" w:name="_MON_1401790505"/>
      <w:bookmarkStart w:id="298" w:name="_MON_1401790577"/>
      <w:bookmarkStart w:id="299" w:name="_MON_1401790930"/>
      <w:bookmarkStart w:id="300" w:name="_MON_1394360983"/>
      <w:bookmarkStart w:id="301" w:name="_MON_1401804091"/>
      <w:bookmarkStart w:id="302" w:name="_MON_1394363788"/>
      <w:bookmarkStart w:id="303" w:name="_MON_1394360801"/>
      <w:bookmarkStart w:id="304" w:name="_MON_1394381142"/>
      <w:bookmarkStart w:id="305" w:name="_MON_1401344516"/>
      <w:bookmarkStart w:id="306" w:name="_MON_1401344551"/>
      <w:bookmarkStart w:id="307" w:name="_MON_1401344983"/>
      <w:bookmarkStart w:id="308" w:name="_MON_1401345148"/>
      <w:bookmarkStart w:id="309" w:name="_MON_1401345268"/>
      <w:bookmarkStart w:id="310" w:name="_MON_1409481340"/>
      <w:bookmarkStart w:id="311" w:name="_MON_1409481367"/>
      <w:bookmarkStart w:id="312" w:name="_MON_1409481442"/>
      <w:bookmarkStart w:id="313" w:name="_MON_1409481554"/>
      <w:bookmarkStart w:id="314" w:name="_MON_1409481583"/>
      <w:bookmarkStart w:id="315" w:name="_MON_1409481643"/>
      <w:bookmarkStart w:id="316" w:name="_MON_1409481848"/>
      <w:bookmarkStart w:id="317" w:name="_MON_1409481997"/>
      <w:bookmarkStart w:id="318" w:name="_MON_1409482072"/>
      <w:bookmarkStart w:id="319" w:name="_MON_1401345285"/>
      <w:bookmarkStart w:id="320" w:name="_MON_1401345336"/>
      <w:bookmarkStart w:id="321" w:name="_MON_140956111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rsidR="00396AAD" w:rsidRPr="00575624" w:rsidRDefault="00396AAD" w:rsidP="00396AAD">
      <w:pPr>
        <w:pStyle w:val="Footer"/>
        <w:tabs>
          <w:tab w:val="clear" w:pos="4320"/>
          <w:tab w:val="clear" w:pos="8640"/>
          <w:tab w:val="left" w:pos="567"/>
        </w:tabs>
        <w:ind w:left="1080"/>
        <w:rPr>
          <w:sz w:val="21"/>
          <w:szCs w:val="21"/>
        </w:rPr>
      </w:pPr>
    </w:p>
    <w:p w:rsidR="00C00744" w:rsidRPr="00575624" w:rsidRDefault="00C00744" w:rsidP="00C00744">
      <w:pPr>
        <w:pStyle w:val="Footer"/>
        <w:numPr>
          <w:ilvl w:val="0"/>
          <w:numId w:val="1"/>
        </w:numPr>
        <w:tabs>
          <w:tab w:val="clear" w:pos="4320"/>
          <w:tab w:val="clear" w:pos="8640"/>
          <w:tab w:val="left" w:pos="567"/>
        </w:tabs>
        <w:ind w:hanging="513"/>
        <w:rPr>
          <w:sz w:val="21"/>
          <w:szCs w:val="21"/>
        </w:rPr>
      </w:pPr>
      <w:r w:rsidRPr="00575624">
        <w:rPr>
          <w:b/>
          <w:sz w:val="21"/>
          <w:szCs w:val="21"/>
        </w:rPr>
        <w:t>Diluted</w:t>
      </w:r>
    </w:p>
    <w:p w:rsidR="00604EAE" w:rsidRPr="00575624" w:rsidRDefault="00604EAE" w:rsidP="00604EAE">
      <w:pPr>
        <w:pStyle w:val="Footer"/>
        <w:tabs>
          <w:tab w:val="clear" w:pos="4320"/>
          <w:tab w:val="clear" w:pos="8640"/>
          <w:tab w:val="left" w:pos="567"/>
        </w:tabs>
        <w:ind w:left="1080"/>
        <w:rPr>
          <w:sz w:val="21"/>
          <w:szCs w:val="21"/>
        </w:rPr>
      </w:pPr>
    </w:p>
    <w:p w:rsidR="0028046E" w:rsidRPr="00575624" w:rsidRDefault="00C00744" w:rsidP="004A2C00">
      <w:pPr>
        <w:ind w:left="567"/>
        <w:jc w:val="both"/>
        <w:rPr>
          <w:sz w:val="21"/>
          <w:szCs w:val="21"/>
        </w:rPr>
      </w:pPr>
      <w:r w:rsidRPr="00575624">
        <w:rPr>
          <w:sz w:val="21"/>
          <w:szCs w:val="21"/>
        </w:rPr>
        <w:t>Diluted earnings per share is the same as basic earnings per share as there is no dilutive potential ordinary shares outstanding as at 3</w:t>
      </w:r>
      <w:r w:rsidR="00177E10" w:rsidRPr="00575624">
        <w:rPr>
          <w:sz w:val="21"/>
          <w:szCs w:val="21"/>
        </w:rPr>
        <w:t>1</w:t>
      </w:r>
      <w:r w:rsidR="00784BEE" w:rsidRPr="00575624">
        <w:rPr>
          <w:sz w:val="21"/>
          <w:szCs w:val="21"/>
        </w:rPr>
        <w:t xml:space="preserve"> </w:t>
      </w:r>
      <w:r w:rsidR="00177E10" w:rsidRPr="00575624">
        <w:rPr>
          <w:sz w:val="21"/>
          <w:szCs w:val="21"/>
        </w:rPr>
        <w:t>July</w:t>
      </w:r>
      <w:r w:rsidRPr="00575624">
        <w:rPr>
          <w:sz w:val="21"/>
          <w:szCs w:val="21"/>
        </w:rPr>
        <w:t xml:space="preserve"> 201</w:t>
      </w:r>
      <w:r w:rsidR="00662196" w:rsidRPr="00575624">
        <w:rPr>
          <w:sz w:val="21"/>
          <w:szCs w:val="21"/>
        </w:rPr>
        <w:t>3.</w:t>
      </w:r>
    </w:p>
    <w:p w:rsidR="001C7B16" w:rsidRPr="00575624" w:rsidRDefault="001C7B16" w:rsidP="00DB667A">
      <w:pPr>
        <w:tabs>
          <w:tab w:val="left" w:pos="567"/>
        </w:tabs>
        <w:ind w:left="567" w:hanging="567"/>
        <w:rPr>
          <w:sz w:val="21"/>
          <w:szCs w:val="21"/>
        </w:rPr>
      </w:pPr>
    </w:p>
    <w:p w:rsidR="001C6D1A" w:rsidRPr="00575624" w:rsidRDefault="00593516" w:rsidP="00C47924">
      <w:pPr>
        <w:pStyle w:val="ListParagraph"/>
        <w:numPr>
          <w:ilvl w:val="0"/>
          <w:numId w:val="3"/>
        </w:numPr>
        <w:tabs>
          <w:tab w:val="left" w:pos="567"/>
        </w:tabs>
        <w:ind w:hanging="720"/>
        <w:rPr>
          <w:b/>
          <w:sz w:val="21"/>
          <w:szCs w:val="21"/>
        </w:rPr>
      </w:pPr>
      <w:r w:rsidRPr="00575624">
        <w:rPr>
          <w:b/>
          <w:sz w:val="21"/>
          <w:szCs w:val="21"/>
        </w:rPr>
        <w:t xml:space="preserve">Acquisitions and disposals of </w:t>
      </w:r>
      <w:r w:rsidR="00654FA0" w:rsidRPr="00575624">
        <w:rPr>
          <w:b/>
          <w:sz w:val="21"/>
          <w:szCs w:val="21"/>
        </w:rPr>
        <w:t>p</w:t>
      </w:r>
      <w:r w:rsidR="00D35793" w:rsidRPr="00575624">
        <w:rPr>
          <w:b/>
          <w:sz w:val="21"/>
          <w:szCs w:val="21"/>
        </w:rPr>
        <w:t>roperty, plant and equipment</w:t>
      </w:r>
    </w:p>
    <w:p w:rsidR="00D35793" w:rsidRPr="00575624" w:rsidRDefault="00D35793" w:rsidP="00D35793">
      <w:pPr>
        <w:pStyle w:val="ListParagraph"/>
        <w:tabs>
          <w:tab w:val="left" w:pos="567"/>
        </w:tabs>
        <w:ind w:left="567"/>
        <w:rPr>
          <w:sz w:val="21"/>
          <w:szCs w:val="21"/>
        </w:rPr>
      </w:pPr>
    </w:p>
    <w:p w:rsidR="00D35793" w:rsidRPr="00575624" w:rsidRDefault="00D35793" w:rsidP="00AE4220">
      <w:pPr>
        <w:pStyle w:val="ListParagraph"/>
        <w:tabs>
          <w:tab w:val="left" w:pos="567"/>
        </w:tabs>
        <w:ind w:left="567"/>
        <w:jc w:val="both"/>
        <w:rPr>
          <w:sz w:val="21"/>
          <w:szCs w:val="21"/>
        </w:rPr>
      </w:pPr>
      <w:r w:rsidRPr="00575624">
        <w:rPr>
          <w:sz w:val="21"/>
          <w:szCs w:val="21"/>
        </w:rPr>
        <w:t xml:space="preserve">During the </w:t>
      </w:r>
      <w:r w:rsidR="00F86DF7" w:rsidRPr="00575624">
        <w:rPr>
          <w:sz w:val="21"/>
          <w:szCs w:val="21"/>
        </w:rPr>
        <w:t xml:space="preserve">current </w:t>
      </w:r>
      <w:r w:rsidR="00177E10" w:rsidRPr="00575624">
        <w:rPr>
          <w:sz w:val="21"/>
          <w:szCs w:val="21"/>
        </w:rPr>
        <w:t>period</w:t>
      </w:r>
      <w:r w:rsidR="00883C8E" w:rsidRPr="00575624">
        <w:rPr>
          <w:sz w:val="21"/>
          <w:szCs w:val="21"/>
        </w:rPr>
        <w:t xml:space="preserve"> under review, the Group acquired property, plant and equipment with aggregate cost of </w:t>
      </w:r>
      <w:r w:rsidRPr="00575624">
        <w:rPr>
          <w:sz w:val="21"/>
          <w:szCs w:val="21"/>
        </w:rPr>
        <w:t>RM</w:t>
      </w:r>
      <w:r w:rsidR="00177E10" w:rsidRPr="00575624">
        <w:rPr>
          <w:sz w:val="21"/>
          <w:szCs w:val="21"/>
        </w:rPr>
        <w:t>6.252</w:t>
      </w:r>
      <w:r w:rsidR="006B0FFB" w:rsidRPr="00575624">
        <w:rPr>
          <w:sz w:val="21"/>
          <w:szCs w:val="21"/>
        </w:rPr>
        <w:t xml:space="preserve"> million </w:t>
      </w:r>
      <w:r w:rsidRPr="00575624">
        <w:rPr>
          <w:sz w:val="21"/>
          <w:szCs w:val="21"/>
        </w:rPr>
        <w:t>(3</w:t>
      </w:r>
      <w:r w:rsidR="00177E10" w:rsidRPr="00575624">
        <w:rPr>
          <w:sz w:val="21"/>
          <w:szCs w:val="21"/>
        </w:rPr>
        <w:t>1</w:t>
      </w:r>
      <w:r w:rsidR="006B0FFB" w:rsidRPr="00575624">
        <w:rPr>
          <w:sz w:val="21"/>
          <w:szCs w:val="21"/>
        </w:rPr>
        <w:t xml:space="preserve"> </w:t>
      </w:r>
      <w:r w:rsidR="00177E10" w:rsidRPr="00575624">
        <w:rPr>
          <w:sz w:val="21"/>
          <w:szCs w:val="21"/>
        </w:rPr>
        <w:t>July</w:t>
      </w:r>
      <w:r w:rsidRPr="00575624">
        <w:rPr>
          <w:sz w:val="21"/>
          <w:szCs w:val="21"/>
        </w:rPr>
        <w:t xml:space="preserve"> 201</w:t>
      </w:r>
      <w:r w:rsidR="00662196" w:rsidRPr="00575624">
        <w:rPr>
          <w:sz w:val="21"/>
          <w:szCs w:val="21"/>
        </w:rPr>
        <w:t>2</w:t>
      </w:r>
      <w:r w:rsidRPr="00575624">
        <w:rPr>
          <w:sz w:val="21"/>
          <w:szCs w:val="21"/>
        </w:rPr>
        <w:t>: RM</w:t>
      </w:r>
      <w:r w:rsidR="006B0FFB" w:rsidRPr="00575624">
        <w:rPr>
          <w:sz w:val="21"/>
          <w:szCs w:val="21"/>
        </w:rPr>
        <w:t>9</w:t>
      </w:r>
      <w:r w:rsidR="00177E10" w:rsidRPr="00575624">
        <w:rPr>
          <w:sz w:val="21"/>
          <w:szCs w:val="21"/>
        </w:rPr>
        <w:t>3.414</w:t>
      </w:r>
      <w:r w:rsidR="00F60E93" w:rsidRPr="00575624">
        <w:rPr>
          <w:sz w:val="21"/>
          <w:szCs w:val="21"/>
        </w:rPr>
        <w:t xml:space="preserve"> million).</w:t>
      </w:r>
    </w:p>
    <w:p w:rsidR="00F60E93" w:rsidRPr="00575624" w:rsidRDefault="00F60E93" w:rsidP="00AE4220">
      <w:pPr>
        <w:pStyle w:val="ListParagraph"/>
        <w:tabs>
          <w:tab w:val="left" w:pos="567"/>
        </w:tabs>
        <w:ind w:left="567"/>
        <w:jc w:val="both"/>
        <w:rPr>
          <w:sz w:val="21"/>
          <w:szCs w:val="21"/>
        </w:rPr>
      </w:pPr>
    </w:p>
    <w:p w:rsidR="00055E38" w:rsidRPr="00575624" w:rsidRDefault="00883C8E" w:rsidP="000D0FBA">
      <w:pPr>
        <w:pStyle w:val="ListParagraph"/>
        <w:tabs>
          <w:tab w:val="left" w:pos="567"/>
        </w:tabs>
        <w:ind w:left="567"/>
        <w:jc w:val="both"/>
        <w:rPr>
          <w:sz w:val="21"/>
          <w:szCs w:val="21"/>
        </w:rPr>
      </w:pPr>
      <w:r w:rsidRPr="00575624">
        <w:rPr>
          <w:sz w:val="21"/>
          <w:szCs w:val="21"/>
        </w:rPr>
        <w:t xml:space="preserve">Property, plant and equipment </w:t>
      </w:r>
      <w:r w:rsidR="005227E8" w:rsidRPr="00575624">
        <w:rPr>
          <w:sz w:val="21"/>
          <w:szCs w:val="21"/>
        </w:rPr>
        <w:t>with a</w:t>
      </w:r>
      <w:r w:rsidR="00AD3B76" w:rsidRPr="00575624">
        <w:rPr>
          <w:sz w:val="21"/>
          <w:szCs w:val="21"/>
        </w:rPr>
        <w:t xml:space="preserve"> carrying amount of RM</w:t>
      </w:r>
      <w:r w:rsidR="00177E10" w:rsidRPr="00575624">
        <w:rPr>
          <w:sz w:val="21"/>
          <w:szCs w:val="21"/>
        </w:rPr>
        <w:t>2.</w:t>
      </w:r>
      <w:r w:rsidRPr="00575624">
        <w:rPr>
          <w:sz w:val="21"/>
          <w:szCs w:val="21"/>
        </w:rPr>
        <w:t>223</w:t>
      </w:r>
      <w:r w:rsidR="00AD3B76" w:rsidRPr="00575624">
        <w:rPr>
          <w:sz w:val="21"/>
          <w:szCs w:val="21"/>
        </w:rPr>
        <w:t xml:space="preserve"> million</w:t>
      </w:r>
      <w:r w:rsidR="00F60E93" w:rsidRPr="00575624">
        <w:rPr>
          <w:sz w:val="21"/>
          <w:szCs w:val="21"/>
        </w:rPr>
        <w:t xml:space="preserve"> w</w:t>
      </w:r>
      <w:r w:rsidR="00AD3B76" w:rsidRPr="00575624">
        <w:rPr>
          <w:sz w:val="21"/>
          <w:szCs w:val="21"/>
        </w:rPr>
        <w:t>ere</w:t>
      </w:r>
      <w:r w:rsidR="00F60E93" w:rsidRPr="00575624">
        <w:rPr>
          <w:sz w:val="21"/>
          <w:szCs w:val="21"/>
        </w:rPr>
        <w:t xml:space="preserve"> disposed by the Group during the </w:t>
      </w:r>
      <w:r w:rsidR="00F86DF7" w:rsidRPr="00575624">
        <w:rPr>
          <w:sz w:val="21"/>
          <w:szCs w:val="21"/>
        </w:rPr>
        <w:t xml:space="preserve">current </w:t>
      </w:r>
      <w:r w:rsidR="00177E10" w:rsidRPr="00575624">
        <w:rPr>
          <w:sz w:val="21"/>
          <w:szCs w:val="21"/>
        </w:rPr>
        <w:t>period</w:t>
      </w:r>
      <w:r w:rsidR="00F86DF7" w:rsidRPr="00575624">
        <w:rPr>
          <w:sz w:val="21"/>
          <w:szCs w:val="21"/>
        </w:rPr>
        <w:t xml:space="preserve"> of </w:t>
      </w:r>
      <w:r w:rsidR="00F60E93" w:rsidRPr="00575624">
        <w:rPr>
          <w:sz w:val="21"/>
          <w:szCs w:val="21"/>
        </w:rPr>
        <w:t>201</w:t>
      </w:r>
      <w:r w:rsidR="00662196" w:rsidRPr="00575624">
        <w:rPr>
          <w:sz w:val="21"/>
          <w:szCs w:val="21"/>
        </w:rPr>
        <w:t>3</w:t>
      </w:r>
      <w:r w:rsidR="005227E8" w:rsidRPr="00575624">
        <w:rPr>
          <w:sz w:val="21"/>
          <w:szCs w:val="21"/>
        </w:rPr>
        <w:t xml:space="preserve"> (3</w:t>
      </w:r>
      <w:r w:rsidR="00177E10" w:rsidRPr="00575624">
        <w:rPr>
          <w:sz w:val="21"/>
          <w:szCs w:val="21"/>
        </w:rPr>
        <w:t>1 July</w:t>
      </w:r>
      <w:r w:rsidR="004A1B2C" w:rsidRPr="00575624">
        <w:rPr>
          <w:sz w:val="21"/>
          <w:szCs w:val="21"/>
        </w:rPr>
        <w:t xml:space="preserve"> </w:t>
      </w:r>
      <w:r w:rsidR="005227E8" w:rsidRPr="00575624">
        <w:rPr>
          <w:sz w:val="21"/>
          <w:szCs w:val="21"/>
        </w:rPr>
        <w:t>201</w:t>
      </w:r>
      <w:r w:rsidR="00662196" w:rsidRPr="00575624">
        <w:rPr>
          <w:sz w:val="21"/>
          <w:szCs w:val="21"/>
        </w:rPr>
        <w:t>2</w:t>
      </w:r>
      <w:r w:rsidR="005227E8" w:rsidRPr="00575624">
        <w:rPr>
          <w:sz w:val="21"/>
          <w:szCs w:val="21"/>
        </w:rPr>
        <w:t xml:space="preserve">: </w:t>
      </w:r>
      <w:r w:rsidR="00177E10" w:rsidRPr="00575624">
        <w:rPr>
          <w:sz w:val="21"/>
          <w:szCs w:val="21"/>
        </w:rPr>
        <w:t>RM0.609 million</w:t>
      </w:r>
      <w:r w:rsidR="005227E8" w:rsidRPr="00575624">
        <w:rPr>
          <w:sz w:val="21"/>
          <w:szCs w:val="21"/>
        </w:rPr>
        <w:t>), resulting in</w:t>
      </w:r>
      <w:r w:rsidR="00AD3B76" w:rsidRPr="00575624">
        <w:rPr>
          <w:sz w:val="21"/>
          <w:szCs w:val="21"/>
        </w:rPr>
        <w:t xml:space="preserve"> a </w:t>
      </w:r>
      <w:r w:rsidR="00CB476B" w:rsidRPr="00575624">
        <w:rPr>
          <w:sz w:val="21"/>
          <w:szCs w:val="21"/>
        </w:rPr>
        <w:t>gain</w:t>
      </w:r>
      <w:r w:rsidR="00AD3B76" w:rsidRPr="00575624">
        <w:rPr>
          <w:sz w:val="21"/>
          <w:szCs w:val="21"/>
        </w:rPr>
        <w:t xml:space="preserve"> on disposal of RM</w:t>
      </w:r>
      <w:r w:rsidR="00524285" w:rsidRPr="00575624">
        <w:rPr>
          <w:sz w:val="21"/>
          <w:szCs w:val="21"/>
        </w:rPr>
        <w:t>0.</w:t>
      </w:r>
      <w:r w:rsidR="004A1B2C" w:rsidRPr="00575624">
        <w:rPr>
          <w:sz w:val="21"/>
          <w:szCs w:val="21"/>
        </w:rPr>
        <w:t>2</w:t>
      </w:r>
      <w:r w:rsidR="00177E10" w:rsidRPr="00575624">
        <w:rPr>
          <w:sz w:val="21"/>
          <w:szCs w:val="21"/>
        </w:rPr>
        <w:t>98</w:t>
      </w:r>
      <w:r w:rsidR="00662196" w:rsidRPr="00575624">
        <w:rPr>
          <w:sz w:val="21"/>
          <w:szCs w:val="21"/>
        </w:rPr>
        <w:t xml:space="preserve"> million</w:t>
      </w:r>
      <w:r w:rsidR="00AD3B76" w:rsidRPr="00575624">
        <w:rPr>
          <w:sz w:val="21"/>
          <w:szCs w:val="21"/>
        </w:rPr>
        <w:t xml:space="preserve"> (3</w:t>
      </w:r>
      <w:r w:rsidR="00177E10" w:rsidRPr="00575624">
        <w:rPr>
          <w:sz w:val="21"/>
          <w:szCs w:val="21"/>
        </w:rPr>
        <w:t>1</w:t>
      </w:r>
      <w:r w:rsidR="00784BEE" w:rsidRPr="00575624">
        <w:rPr>
          <w:sz w:val="21"/>
          <w:szCs w:val="21"/>
        </w:rPr>
        <w:t xml:space="preserve"> </w:t>
      </w:r>
      <w:r w:rsidR="00177E10" w:rsidRPr="00575624">
        <w:rPr>
          <w:sz w:val="21"/>
          <w:szCs w:val="21"/>
        </w:rPr>
        <w:t>July</w:t>
      </w:r>
      <w:r w:rsidR="00662196" w:rsidRPr="00575624">
        <w:rPr>
          <w:sz w:val="21"/>
          <w:szCs w:val="21"/>
        </w:rPr>
        <w:t xml:space="preserve"> 2012</w:t>
      </w:r>
      <w:r w:rsidR="00AD3B76" w:rsidRPr="00575624">
        <w:rPr>
          <w:sz w:val="21"/>
          <w:szCs w:val="21"/>
        </w:rPr>
        <w:t xml:space="preserve">: </w:t>
      </w:r>
      <w:r w:rsidR="00177E10" w:rsidRPr="00575624">
        <w:rPr>
          <w:sz w:val="21"/>
          <w:szCs w:val="21"/>
        </w:rPr>
        <w:t xml:space="preserve">loss of </w:t>
      </w:r>
      <w:r w:rsidR="00AD3B76" w:rsidRPr="00575624">
        <w:rPr>
          <w:sz w:val="21"/>
          <w:szCs w:val="21"/>
        </w:rPr>
        <w:t>RM</w:t>
      </w:r>
      <w:r w:rsidR="00177E10" w:rsidRPr="00575624">
        <w:rPr>
          <w:sz w:val="21"/>
          <w:szCs w:val="21"/>
        </w:rPr>
        <w:t>0.033</w:t>
      </w:r>
      <w:r w:rsidR="001619FF" w:rsidRPr="00575624">
        <w:rPr>
          <w:sz w:val="21"/>
          <w:szCs w:val="21"/>
        </w:rPr>
        <w:t xml:space="preserve"> million</w:t>
      </w:r>
      <w:r w:rsidR="00AD3B76" w:rsidRPr="00575624">
        <w:rPr>
          <w:sz w:val="21"/>
          <w:szCs w:val="21"/>
        </w:rPr>
        <w:t>)</w:t>
      </w:r>
      <w:r w:rsidR="00A94E88" w:rsidRPr="00575624">
        <w:rPr>
          <w:sz w:val="21"/>
          <w:szCs w:val="21"/>
        </w:rPr>
        <w:t xml:space="preserve"> recognised and included in other operating income</w:t>
      </w:r>
      <w:r w:rsidR="00AD3B76" w:rsidRPr="00575624">
        <w:rPr>
          <w:sz w:val="21"/>
          <w:szCs w:val="21"/>
        </w:rPr>
        <w:t>.</w:t>
      </w:r>
      <w:r w:rsidR="00593516" w:rsidRPr="00575624">
        <w:rPr>
          <w:sz w:val="21"/>
          <w:szCs w:val="21"/>
        </w:rPr>
        <w:t xml:space="preserve"> </w:t>
      </w:r>
    </w:p>
    <w:p w:rsidR="00C94067" w:rsidRPr="00575624" w:rsidRDefault="00C94067" w:rsidP="000D0FBA">
      <w:pPr>
        <w:pStyle w:val="ListParagraph"/>
        <w:tabs>
          <w:tab w:val="left" w:pos="567"/>
        </w:tabs>
        <w:ind w:left="567"/>
        <w:jc w:val="both"/>
        <w:rPr>
          <w:sz w:val="21"/>
          <w:szCs w:val="21"/>
        </w:rPr>
      </w:pPr>
    </w:p>
    <w:p w:rsidR="00055E38" w:rsidRPr="00575624" w:rsidRDefault="00055E38" w:rsidP="00C47924">
      <w:pPr>
        <w:pStyle w:val="ListParagraph"/>
        <w:numPr>
          <w:ilvl w:val="0"/>
          <w:numId w:val="3"/>
        </w:numPr>
        <w:tabs>
          <w:tab w:val="left" w:pos="567"/>
        </w:tabs>
        <w:ind w:hanging="720"/>
        <w:rPr>
          <w:b/>
          <w:sz w:val="21"/>
          <w:szCs w:val="21"/>
        </w:rPr>
      </w:pPr>
      <w:r w:rsidRPr="00575624">
        <w:rPr>
          <w:b/>
          <w:sz w:val="21"/>
          <w:szCs w:val="21"/>
        </w:rPr>
        <w:t>Fair Value Hierarchy</w:t>
      </w:r>
    </w:p>
    <w:p w:rsidR="00055E38" w:rsidRPr="00575624" w:rsidRDefault="00055E38" w:rsidP="00055E38">
      <w:pPr>
        <w:pStyle w:val="ListParagraph"/>
        <w:tabs>
          <w:tab w:val="left" w:pos="567"/>
        </w:tabs>
        <w:rPr>
          <w:b/>
          <w:sz w:val="21"/>
          <w:szCs w:val="21"/>
        </w:rPr>
      </w:pPr>
    </w:p>
    <w:p w:rsidR="00055E38" w:rsidRPr="00575624" w:rsidRDefault="00055E38" w:rsidP="00157928">
      <w:pPr>
        <w:pStyle w:val="ListParagraph"/>
        <w:tabs>
          <w:tab w:val="left" w:pos="567"/>
        </w:tabs>
        <w:ind w:left="567"/>
        <w:jc w:val="both"/>
        <w:rPr>
          <w:sz w:val="21"/>
          <w:szCs w:val="21"/>
        </w:rPr>
      </w:pPr>
      <w:r w:rsidRPr="00575624">
        <w:rPr>
          <w:sz w:val="21"/>
          <w:szCs w:val="21"/>
        </w:rPr>
        <w:t>The Group uses the following hierarchy for determining the fair value of the financial instruments carried at fair value:</w:t>
      </w:r>
    </w:p>
    <w:p w:rsidR="00055E38" w:rsidRPr="00575624" w:rsidRDefault="00055E38" w:rsidP="00157928">
      <w:pPr>
        <w:pStyle w:val="ListParagraph"/>
        <w:tabs>
          <w:tab w:val="left" w:pos="567"/>
        </w:tabs>
        <w:ind w:left="567"/>
        <w:jc w:val="both"/>
        <w:rPr>
          <w:sz w:val="21"/>
          <w:szCs w:val="21"/>
        </w:rPr>
      </w:pPr>
    </w:p>
    <w:p w:rsidR="00055E38" w:rsidRPr="00575624" w:rsidRDefault="00055E38" w:rsidP="00157928">
      <w:pPr>
        <w:pStyle w:val="ListParagraph"/>
        <w:tabs>
          <w:tab w:val="left" w:pos="1701"/>
        </w:tabs>
        <w:ind w:left="2127" w:hanging="1560"/>
        <w:jc w:val="both"/>
        <w:rPr>
          <w:sz w:val="21"/>
          <w:szCs w:val="21"/>
        </w:rPr>
      </w:pPr>
      <w:r w:rsidRPr="00575624">
        <w:rPr>
          <w:sz w:val="21"/>
          <w:szCs w:val="21"/>
        </w:rPr>
        <w:t>Level 1</w:t>
      </w:r>
      <w:r w:rsidRPr="00575624">
        <w:rPr>
          <w:sz w:val="21"/>
          <w:szCs w:val="21"/>
        </w:rPr>
        <w:tab/>
        <w:t>-</w:t>
      </w:r>
      <w:r w:rsidRPr="00575624">
        <w:rPr>
          <w:sz w:val="21"/>
          <w:szCs w:val="21"/>
        </w:rPr>
        <w:tab/>
        <w:t>Quoted prices (unadjusted) in active markets for identical assets or liabilities</w:t>
      </w:r>
    </w:p>
    <w:p w:rsidR="00055E38" w:rsidRPr="00575624" w:rsidRDefault="00055E38" w:rsidP="00157928">
      <w:pPr>
        <w:pStyle w:val="ListParagraph"/>
        <w:tabs>
          <w:tab w:val="left" w:pos="1701"/>
        </w:tabs>
        <w:ind w:left="2127" w:hanging="1560"/>
        <w:jc w:val="both"/>
        <w:rPr>
          <w:sz w:val="21"/>
          <w:szCs w:val="21"/>
        </w:rPr>
      </w:pPr>
    </w:p>
    <w:p w:rsidR="00055E38" w:rsidRPr="00575624" w:rsidRDefault="00055E38" w:rsidP="00157928">
      <w:pPr>
        <w:pStyle w:val="ListParagraph"/>
        <w:tabs>
          <w:tab w:val="left" w:pos="1701"/>
        </w:tabs>
        <w:ind w:left="2127" w:hanging="1560"/>
        <w:jc w:val="both"/>
        <w:rPr>
          <w:sz w:val="21"/>
          <w:szCs w:val="21"/>
        </w:rPr>
      </w:pPr>
      <w:r w:rsidRPr="00575624">
        <w:rPr>
          <w:sz w:val="21"/>
          <w:szCs w:val="21"/>
        </w:rPr>
        <w:t>Level 2</w:t>
      </w:r>
      <w:r w:rsidRPr="00575624">
        <w:rPr>
          <w:sz w:val="21"/>
          <w:szCs w:val="21"/>
        </w:rPr>
        <w:tab/>
        <w:t>-</w:t>
      </w:r>
      <w:r w:rsidRPr="00575624">
        <w:rPr>
          <w:sz w:val="21"/>
          <w:szCs w:val="21"/>
        </w:rPr>
        <w:tab/>
        <w:t>Inputs that are based on observable market data, either directly or indirectly</w:t>
      </w:r>
    </w:p>
    <w:p w:rsidR="00055E38" w:rsidRPr="00575624" w:rsidRDefault="00055E38" w:rsidP="00157928">
      <w:pPr>
        <w:pStyle w:val="ListParagraph"/>
        <w:tabs>
          <w:tab w:val="left" w:pos="1701"/>
        </w:tabs>
        <w:ind w:left="2127" w:hanging="1560"/>
        <w:jc w:val="both"/>
        <w:rPr>
          <w:sz w:val="21"/>
          <w:szCs w:val="21"/>
        </w:rPr>
      </w:pPr>
    </w:p>
    <w:p w:rsidR="00716166" w:rsidRPr="00575624" w:rsidRDefault="00055E38" w:rsidP="00CC73F7">
      <w:pPr>
        <w:pStyle w:val="ListParagraph"/>
        <w:tabs>
          <w:tab w:val="left" w:pos="1701"/>
        </w:tabs>
        <w:ind w:left="2127" w:hanging="1560"/>
        <w:jc w:val="both"/>
        <w:rPr>
          <w:sz w:val="21"/>
          <w:szCs w:val="21"/>
        </w:rPr>
      </w:pPr>
      <w:r w:rsidRPr="00575624">
        <w:rPr>
          <w:sz w:val="21"/>
          <w:szCs w:val="21"/>
        </w:rPr>
        <w:t>Level 3</w:t>
      </w:r>
      <w:r w:rsidRPr="00575624">
        <w:rPr>
          <w:sz w:val="21"/>
          <w:szCs w:val="21"/>
        </w:rPr>
        <w:tab/>
        <w:t>-</w:t>
      </w:r>
      <w:r w:rsidRPr="00575624">
        <w:rPr>
          <w:sz w:val="21"/>
          <w:szCs w:val="21"/>
        </w:rPr>
        <w:tab/>
        <w:t>Inputs that are not based on observable market data</w:t>
      </w:r>
    </w:p>
    <w:p w:rsidR="00EA56C5" w:rsidRPr="00575624" w:rsidRDefault="00EA56C5" w:rsidP="007602C9">
      <w:pPr>
        <w:pStyle w:val="ListParagraph"/>
        <w:tabs>
          <w:tab w:val="left" w:pos="1701"/>
        </w:tabs>
        <w:ind w:left="567"/>
        <w:jc w:val="both"/>
        <w:rPr>
          <w:sz w:val="21"/>
          <w:szCs w:val="21"/>
        </w:rPr>
      </w:pPr>
    </w:p>
    <w:p w:rsidR="00D04FC6" w:rsidRDefault="00593516" w:rsidP="007602C9">
      <w:pPr>
        <w:pStyle w:val="ListParagraph"/>
        <w:tabs>
          <w:tab w:val="left" w:pos="1701"/>
        </w:tabs>
        <w:ind w:left="567"/>
        <w:jc w:val="both"/>
        <w:rPr>
          <w:sz w:val="21"/>
          <w:szCs w:val="21"/>
        </w:rPr>
      </w:pPr>
      <w:r w:rsidRPr="00575624">
        <w:rPr>
          <w:sz w:val="21"/>
          <w:szCs w:val="21"/>
        </w:rPr>
        <w:t>As at reporting date, the carrying amounts of available-for-sale investments and held for trading investment securities were measured by using Level 1 method in the hierarchy in determining their fair value.</w:t>
      </w:r>
      <w:bookmarkStart w:id="322" w:name="_MON_1409994246"/>
      <w:bookmarkStart w:id="323" w:name="_MON_1409994254"/>
      <w:bookmarkEnd w:id="322"/>
      <w:bookmarkEnd w:id="323"/>
    </w:p>
    <w:p w:rsidR="00414EEF" w:rsidRPr="00575624" w:rsidRDefault="00414EEF" w:rsidP="007602C9">
      <w:pPr>
        <w:pStyle w:val="ListParagraph"/>
        <w:tabs>
          <w:tab w:val="left" w:pos="1701"/>
        </w:tabs>
        <w:ind w:left="567"/>
        <w:jc w:val="both"/>
        <w:rPr>
          <w:sz w:val="21"/>
          <w:szCs w:val="21"/>
        </w:rPr>
      </w:pPr>
    </w:p>
    <w:p w:rsidR="006147A8" w:rsidRPr="00575624" w:rsidRDefault="007B05FA" w:rsidP="00C47924">
      <w:pPr>
        <w:numPr>
          <w:ilvl w:val="0"/>
          <w:numId w:val="3"/>
        </w:numPr>
        <w:tabs>
          <w:tab w:val="left" w:pos="567"/>
        </w:tabs>
        <w:ind w:hanging="720"/>
        <w:jc w:val="both"/>
        <w:rPr>
          <w:b/>
          <w:sz w:val="21"/>
          <w:szCs w:val="21"/>
        </w:rPr>
      </w:pPr>
      <w:r w:rsidRPr="00575624">
        <w:rPr>
          <w:b/>
          <w:sz w:val="21"/>
          <w:szCs w:val="21"/>
        </w:rPr>
        <w:lastRenderedPageBreak/>
        <w:t>Debt and Equity Securities</w:t>
      </w:r>
    </w:p>
    <w:p w:rsidR="00C42FD9" w:rsidRPr="007641B3" w:rsidRDefault="00C42FD9" w:rsidP="00C42FD9">
      <w:pPr>
        <w:jc w:val="both"/>
        <w:rPr>
          <w:b/>
          <w:sz w:val="22"/>
          <w:szCs w:val="22"/>
        </w:rPr>
      </w:pPr>
    </w:p>
    <w:p w:rsidR="00EA5FAC" w:rsidRDefault="00C42FD9" w:rsidP="00C42FD9">
      <w:pPr>
        <w:ind w:left="567"/>
        <w:jc w:val="both"/>
        <w:rPr>
          <w:sz w:val="21"/>
          <w:szCs w:val="21"/>
        </w:rPr>
      </w:pPr>
      <w:r>
        <w:rPr>
          <w:sz w:val="22"/>
          <w:szCs w:val="22"/>
        </w:rPr>
        <w:t>Except for the issuance of the 20,035,510 ordinary shares of RM1.00 each under private placements at a value of RM2.82 for each share and for a consideration of RM56.5 million, t</w:t>
      </w:r>
      <w:r w:rsidRPr="007641B3">
        <w:rPr>
          <w:sz w:val="22"/>
          <w:szCs w:val="22"/>
        </w:rPr>
        <w:t xml:space="preserve">here were no </w:t>
      </w:r>
      <w:r>
        <w:rPr>
          <w:sz w:val="22"/>
          <w:szCs w:val="22"/>
        </w:rPr>
        <w:t xml:space="preserve">other </w:t>
      </w:r>
      <w:r w:rsidRPr="007641B3">
        <w:rPr>
          <w:sz w:val="22"/>
          <w:szCs w:val="22"/>
        </w:rPr>
        <w:t>issuances</w:t>
      </w:r>
      <w:r w:rsidR="007B05FA" w:rsidRPr="00575624">
        <w:rPr>
          <w:sz w:val="21"/>
          <w:szCs w:val="21"/>
        </w:rPr>
        <w:t xml:space="preserve"> were no other issuances, repayment of debts, share buy-backs, share cancellations, shares held as treasury shares and resale of treasury shares during the </w:t>
      </w:r>
      <w:r w:rsidR="00F86DF7" w:rsidRPr="00575624">
        <w:rPr>
          <w:sz w:val="21"/>
          <w:szCs w:val="21"/>
        </w:rPr>
        <w:t xml:space="preserve">current </w:t>
      </w:r>
      <w:r w:rsidR="00E90A88" w:rsidRPr="00575624">
        <w:rPr>
          <w:sz w:val="21"/>
          <w:szCs w:val="21"/>
        </w:rPr>
        <w:t>period</w:t>
      </w:r>
      <w:r w:rsidR="00F86DF7" w:rsidRPr="00575624">
        <w:rPr>
          <w:sz w:val="21"/>
          <w:szCs w:val="21"/>
        </w:rPr>
        <w:t xml:space="preserve"> </w:t>
      </w:r>
      <w:r w:rsidR="005B48B4" w:rsidRPr="00575624">
        <w:rPr>
          <w:sz w:val="21"/>
          <w:szCs w:val="21"/>
        </w:rPr>
        <w:t>under review.</w:t>
      </w:r>
    </w:p>
    <w:p w:rsidR="00575624" w:rsidRPr="00575624" w:rsidRDefault="00575624" w:rsidP="00F645D8">
      <w:pPr>
        <w:ind w:left="567"/>
        <w:jc w:val="both"/>
        <w:rPr>
          <w:sz w:val="21"/>
          <w:szCs w:val="21"/>
        </w:rPr>
      </w:pPr>
    </w:p>
    <w:p w:rsidR="007B05FA" w:rsidRPr="00575624" w:rsidRDefault="00F15947" w:rsidP="00C47924">
      <w:pPr>
        <w:numPr>
          <w:ilvl w:val="0"/>
          <w:numId w:val="3"/>
        </w:numPr>
        <w:tabs>
          <w:tab w:val="left" w:pos="567"/>
        </w:tabs>
        <w:ind w:hanging="720"/>
        <w:jc w:val="both"/>
        <w:rPr>
          <w:b/>
          <w:sz w:val="21"/>
          <w:szCs w:val="21"/>
        </w:rPr>
      </w:pPr>
      <w:r w:rsidRPr="00575624">
        <w:rPr>
          <w:b/>
          <w:sz w:val="21"/>
          <w:szCs w:val="21"/>
        </w:rPr>
        <w:t>Interest-bearing Loans and Borrowings</w:t>
      </w:r>
    </w:p>
    <w:p w:rsidR="007B05FA" w:rsidRPr="00575624" w:rsidRDefault="007B05FA" w:rsidP="007B05FA">
      <w:pPr>
        <w:tabs>
          <w:tab w:val="left" w:pos="567"/>
        </w:tabs>
        <w:ind w:left="567" w:hanging="567"/>
        <w:jc w:val="both"/>
        <w:rPr>
          <w:sz w:val="21"/>
          <w:szCs w:val="21"/>
        </w:rPr>
      </w:pPr>
    </w:p>
    <w:p w:rsidR="007B05FA" w:rsidRPr="00575624" w:rsidRDefault="007B05FA" w:rsidP="009D0EB2">
      <w:pPr>
        <w:pStyle w:val="BodyTextIndent"/>
        <w:tabs>
          <w:tab w:val="clear" w:pos="360"/>
          <w:tab w:val="left" w:pos="567"/>
        </w:tabs>
        <w:ind w:left="567"/>
        <w:jc w:val="both"/>
        <w:rPr>
          <w:sz w:val="21"/>
          <w:szCs w:val="21"/>
        </w:rPr>
      </w:pPr>
      <w:r w:rsidRPr="00575624">
        <w:rPr>
          <w:sz w:val="21"/>
          <w:szCs w:val="21"/>
        </w:rPr>
        <w:t>Details of total Group’s borrowings as at 3</w:t>
      </w:r>
      <w:r w:rsidR="00177E10" w:rsidRPr="00575624">
        <w:rPr>
          <w:sz w:val="21"/>
          <w:szCs w:val="21"/>
        </w:rPr>
        <w:t>1</w:t>
      </w:r>
      <w:r w:rsidR="00784BEE" w:rsidRPr="00575624">
        <w:rPr>
          <w:sz w:val="21"/>
          <w:szCs w:val="21"/>
        </w:rPr>
        <w:t xml:space="preserve"> </w:t>
      </w:r>
      <w:r w:rsidR="00177E10" w:rsidRPr="00575624">
        <w:rPr>
          <w:sz w:val="21"/>
          <w:szCs w:val="21"/>
        </w:rPr>
        <w:t>July</w:t>
      </w:r>
      <w:r w:rsidRPr="00575624">
        <w:rPr>
          <w:sz w:val="21"/>
          <w:szCs w:val="21"/>
        </w:rPr>
        <w:t xml:space="preserve"> 201</w:t>
      </w:r>
      <w:r w:rsidR="00637558" w:rsidRPr="00575624">
        <w:rPr>
          <w:sz w:val="21"/>
          <w:szCs w:val="21"/>
        </w:rPr>
        <w:t>3</w:t>
      </w:r>
      <w:r w:rsidRPr="00575624">
        <w:rPr>
          <w:sz w:val="21"/>
          <w:szCs w:val="21"/>
        </w:rPr>
        <w:t xml:space="preserve"> are as follows: </w:t>
      </w:r>
    </w:p>
    <w:bookmarkStart w:id="324" w:name="_MON_1401349421"/>
    <w:bookmarkStart w:id="325" w:name="_MON_1401349434"/>
    <w:bookmarkStart w:id="326" w:name="_MON_1401954300"/>
    <w:bookmarkStart w:id="327" w:name="_MON_1409565861"/>
    <w:bookmarkStart w:id="328" w:name="_MON_1401349448"/>
    <w:bookmarkEnd w:id="324"/>
    <w:bookmarkEnd w:id="325"/>
    <w:bookmarkEnd w:id="326"/>
    <w:bookmarkEnd w:id="327"/>
    <w:bookmarkEnd w:id="328"/>
    <w:bookmarkStart w:id="329" w:name="_MON_1401348951"/>
    <w:bookmarkEnd w:id="329"/>
    <w:p w:rsidR="007B05FA" w:rsidRPr="00575624" w:rsidRDefault="00F05679" w:rsidP="007B05FA">
      <w:pPr>
        <w:pStyle w:val="BodyTextIndent"/>
        <w:tabs>
          <w:tab w:val="clear" w:pos="360"/>
          <w:tab w:val="left" w:pos="567"/>
        </w:tabs>
        <w:ind w:left="567" w:hanging="567"/>
        <w:jc w:val="both"/>
        <w:rPr>
          <w:sz w:val="21"/>
          <w:szCs w:val="21"/>
        </w:rPr>
      </w:pPr>
      <w:r w:rsidRPr="00575624">
        <w:rPr>
          <w:sz w:val="21"/>
          <w:szCs w:val="21"/>
        </w:rPr>
        <w:object w:dxaOrig="9698" w:dyaOrig="1787">
          <v:shape id="_x0000_i1030" type="#_x0000_t75" style="width:484.35pt;height:88.9pt" o:ole="">
            <v:imagedata r:id="rId21" o:title=""/>
          </v:shape>
          <o:OLEObject Type="Embed" ProgID="Excel.Sheet.8" ShapeID="_x0000_i1030" DrawAspect="Content" ObjectID="_1441724960" r:id="rId22"/>
        </w:object>
      </w:r>
    </w:p>
    <w:p w:rsidR="00575624" w:rsidRDefault="00575624" w:rsidP="00F15947">
      <w:pPr>
        <w:pStyle w:val="BodyTextIndent"/>
        <w:tabs>
          <w:tab w:val="clear" w:pos="360"/>
          <w:tab w:val="left" w:pos="567"/>
        </w:tabs>
        <w:ind w:left="567"/>
        <w:jc w:val="both"/>
        <w:rPr>
          <w:sz w:val="21"/>
          <w:szCs w:val="21"/>
        </w:rPr>
      </w:pPr>
    </w:p>
    <w:p w:rsidR="007B05FA" w:rsidRPr="00575624" w:rsidRDefault="007B05FA" w:rsidP="00F15947">
      <w:pPr>
        <w:pStyle w:val="BodyTextIndent"/>
        <w:tabs>
          <w:tab w:val="clear" w:pos="360"/>
          <w:tab w:val="left" w:pos="567"/>
        </w:tabs>
        <w:ind w:left="567"/>
        <w:jc w:val="both"/>
        <w:rPr>
          <w:sz w:val="21"/>
          <w:szCs w:val="21"/>
        </w:rPr>
      </w:pPr>
      <w:r w:rsidRPr="00575624">
        <w:rPr>
          <w:sz w:val="21"/>
          <w:szCs w:val="21"/>
        </w:rPr>
        <w:t xml:space="preserve">Except for </w:t>
      </w:r>
      <w:r w:rsidR="005B48B4" w:rsidRPr="00575624">
        <w:rPr>
          <w:sz w:val="21"/>
          <w:szCs w:val="21"/>
        </w:rPr>
        <w:t xml:space="preserve">the </w:t>
      </w:r>
      <w:r w:rsidR="00F86DF7" w:rsidRPr="00575624">
        <w:rPr>
          <w:sz w:val="21"/>
          <w:szCs w:val="21"/>
        </w:rPr>
        <w:t xml:space="preserve">borrowings of </w:t>
      </w:r>
      <w:r w:rsidRPr="00575624">
        <w:rPr>
          <w:sz w:val="21"/>
          <w:szCs w:val="21"/>
        </w:rPr>
        <w:t>RM</w:t>
      </w:r>
      <w:r w:rsidR="00E908A3" w:rsidRPr="00575624">
        <w:rPr>
          <w:sz w:val="21"/>
          <w:szCs w:val="21"/>
        </w:rPr>
        <w:t>2</w:t>
      </w:r>
      <w:r w:rsidR="0050117D" w:rsidRPr="00575624">
        <w:rPr>
          <w:sz w:val="21"/>
          <w:szCs w:val="21"/>
        </w:rPr>
        <w:t>44.643</w:t>
      </w:r>
      <w:r w:rsidR="00F86DF7" w:rsidRPr="00575624">
        <w:rPr>
          <w:sz w:val="21"/>
          <w:szCs w:val="21"/>
        </w:rPr>
        <w:t xml:space="preserve"> </w:t>
      </w:r>
      <w:r w:rsidRPr="00575624">
        <w:rPr>
          <w:sz w:val="21"/>
          <w:szCs w:val="21"/>
        </w:rPr>
        <w:t xml:space="preserve">million denominated in United States Dollar, all other borrowings </w:t>
      </w:r>
      <w:bookmarkStart w:id="330" w:name="_GoBack"/>
      <w:bookmarkEnd w:id="330"/>
      <w:r w:rsidRPr="00575624">
        <w:rPr>
          <w:sz w:val="21"/>
          <w:szCs w:val="21"/>
        </w:rPr>
        <w:t>are denominated in Ringgit Malaysia.</w:t>
      </w:r>
    </w:p>
    <w:p w:rsidR="005B04B0" w:rsidRPr="00575624" w:rsidRDefault="005B04B0" w:rsidP="007B05FA">
      <w:pPr>
        <w:pStyle w:val="ListParagraph"/>
        <w:tabs>
          <w:tab w:val="left" w:pos="567"/>
        </w:tabs>
        <w:ind w:left="567"/>
        <w:rPr>
          <w:sz w:val="21"/>
          <w:szCs w:val="21"/>
        </w:rPr>
      </w:pPr>
    </w:p>
    <w:p w:rsidR="00F15947" w:rsidRPr="00575624" w:rsidRDefault="00F15947" w:rsidP="00C47924">
      <w:pPr>
        <w:numPr>
          <w:ilvl w:val="0"/>
          <w:numId w:val="3"/>
        </w:numPr>
        <w:tabs>
          <w:tab w:val="left" w:pos="540"/>
        </w:tabs>
        <w:ind w:hanging="720"/>
        <w:jc w:val="both"/>
        <w:rPr>
          <w:b/>
          <w:sz w:val="21"/>
          <w:szCs w:val="21"/>
        </w:rPr>
      </w:pPr>
      <w:r w:rsidRPr="00575624">
        <w:rPr>
          <w:b/>
          <w:sz w:val="21"/>
          <w:szCs w:val="21"/>
        </w:rPr>
        <w:t>Dividend Paid</w:t>
      </w:r>
    </w:p>
    <w:p w:rsidR="00F15947" w:rsidRPr="00575624" w:rsidRDefault="00F15947" w:rsidP="00F15947">
      <w:pPr>
        <w:tabs>
          <w:tab w:val="left" w:pos="567"/>
        </w:tabs>
        <w:ind w:left="567" w:hanging="567"/>
        <w:jc w:val="both"/>
        <w:rPr>
          <w:b/>
          <w:sz w:val="21"/>
          <w:szCs w:val="21"/>
        </w:rPr>
      </w:pPr>
    </w:p>
    <w:p w:rsidR="00177E10" w:rsidRPr="00575624" w:rsidRDefault="00177E10" w:rsidP="00177E10">
      <w:pPr>
        <w:pStyle w:val="BodyTextIndent2"/>
        <w:ind w:left="567"/>
        <w:rPr>
          <w:sz w:val="21"/>
          <w:szCs w:val="21"/>
        </w:rPr>
      </w:pPr>
      <w:r w:rsidRPr="00575624">
        <w:rPr>
          <w:sz w:val="21"/>
          <w:szCs w:val="21"/>
        </w:rPr>
        <w:t>At the Annual General Meeting held on 31 July 2013, the shareholders of the Company have approved the payment of a first and final dividend of 2.5% less income tax in respect of financial year ended 31 January 2013.  The dividend was paid on 10 September 2013.</w:t>
      </w:r>
    </w:p>
    <w:p w:rsidR="005416B6" w:rsidRPr="00575624" w:rsidRDefault="005416B6" w:rsidP="000D0FBA">
      <w:pPr>
        <w:pStyle w:val="BodyTextIndent2"/>
        <w:ind w:left="567"/>
        <w:rPr>
          <w:sz w:val="21"/>
          <w:szCs w:val="21"/>
        </w:rPr>
      </w:pPr>
    </w:p>
    <w:p w:rsidR="00541B5D" w:rsidRPr="00575624" w:rsidRDefault="00541B5D" w:rsidP="00C47924">
      <w:pPr>
        <w:pStyle w:val="BodyTextIndent"/>
        <w:numPr>
          <w:ilvl w:val="0"/>
          <w:numId w:val="3"/>
        </w:numPr>
        <w:tabs>
          <w:tab w:val="clear" w:pos="360"/>
          <w:tab w:val="left" w:pos="567"/>
        </w:tabs>
        <w:ind w:hanging="720"/>
        <w:jc w:val="both"/>
        <w:rPr>
          <w:b/>
          <w:sz w:val="21"/>
          <w:szCs w:val="21"/>
        </w:rPr>
      </w:pPr>
      <w:r w:rsidRPr="00575624">
        <w:rPr>
          <w:b/>
          <w:sz w:val="21"/>
          <w:szCs w:val="21"/>
        </w:rPr>
        <w:t>Capital Commitments</w:t>
      </w:r>
    </w:p>
    <w:p w:rsidR="00752A3A" w:rsidRPr="00575624" w:rsidRDefault="00752A3A" w:rsidP="00752A3A">
      <w:pPr>
        <w:pStyle w:val="BodyTextIndent"/>
        <w:tabs>
          <w:tab w:val="clear" w:pos="360"/>
          <w:tab w:val="left" w:pos="567"/>
        </w:tabs>
        <w:ind w:left="720"/>
        <w:jc w:val="both"/>
        <w:rPr>
          <w:b/>
          <w:sz w:val="21"/>
          <w:szCs w:val="21"/>
        </w:rPr>
      </w:pPr>
    </w:p>
    <w:p w:rsidR="00752A3A" w:rsidRPr="00575624" w:rsidRDefault="005B48B4" w:rsidP="00752A3A">
      <w:pPr>
        <w:pStyle w:val="BodyTextIndent"/>
        <w:tabs>
          <w:tab w:val="clear" w:pos="360"/>
          <w:tab w:val="left" w:pos="567"/>
        </w:tabs>
        <w:ind w:left="567"/>
        <w:jc w:val="both"/>
        <w:rPr>
          <w:sz w:val="21"/>
          <w:szCs w:val="21"/>
        </w:rPr>
      </w:pPr>
      <w:r w:rsidRPr="00575624">
        <w:rPr>
          <w:sz w:val="21"/>
          <w:szCs w:val="21"/>
        </w:rPr>
        <w:t>Capital commitment for the approved and contracted for property, plant and equipment but not provided for in the interim condensed financial statements as at 31 July 2013 amounting to RM4.548 million</w:t>
      </w:r>
    </w:p>
    <w:p w:rsidR="00AE12AF" w:rsidRPr="00575624" w:rsidRDefault="00AE12AF" w:rsidP="00541B5D">
      <w:pPr>
        <w:pStyle w:val="BodyTextIndent"/>
        <w:tabs>
          <w:tab w:val="clear" w:pos="360"/>
          <w:tab w:val="left" w:pos="567"/>
        </w:tabs>
        <w:ind w:left="567" w:right="-511" w:hanging="567"/>
        <w:rPr>
          <w:sz w:val="21"/>
          <w:szCs w:val="21"/>
        </w:rPr>
      </w:pPr>
    </w:p>
    <w:p w:rsidR="00543CF0" w:rsidRPr="00575624" w:rsidRDefault="00543CF0" w:rsidP="00C47924">
      <w:pPr>
        <w:numPr>
          <w:ilvl w:val="0"/>
          <w:numId w:val="3"/>
        </w:numPr>
        <w:tabs>
          <w:tab w:val="left" w:pos="567"/>
        </w:tabs>
        <w:ind w:hanging="720"/>
        <w:jc w:val="both"/>
        <w:rPr>
          <w:b/>
          <w:sz w:val="21"/>
          <w:szCs w:val="21"/>
        </w:rPr>
      </w:pPr>
      <w:r w:rsidRPr="00575624">
        <w:rPr>
          <w:b/>
          <w:sz w:val="21"/>
          <w:szCs w:val="21"/>
        </w:rPr>
        <w:t>Changes in Contingent Liabilities and Contingent Assets</w:t>
      </w:r>
    </w:p>
    <w:p w:rsidR="00543CF0" w:rsidRPr="00575624" w:rsidRDefault="00543CF0" w:rsidP="00543CF0">
      <w:pPr>
        <w:tabs>
          <w:tab w:val="left" w:pos="567"/>
        </w:tabs>
        <w:ind w:left="567" w:hanging="567"/>
        <w:jc w:val="both"/>
        <w:rPr>
          <w:b/>
          <w:sz w:val="21"/>
          <w:szCs w:val="21"/>
        </w:rPr>
      </w:pPr>
    </w:p>
    <w:p w:rsidR="007635BB" w:rsidRPr="00575624" w:rsidRDefault="00543CF0" w:rsidP="00883C8E">
      <w:pPr>
        <w:tabs>
          <w:tab w:val="left" w:pos="567"/>
        </w:tabs>
        <w:ind w:left="567"/>
        <w:jc w:val="both"/>
        <w:rPr>
          <w:sz w:val="21"/>
          <w:szCs w:val="21"/>
        </w:rPr>
      </w:pPr>
      <w:r w:rsidRPr="00575624">
        <w:rPr>
          <w:sz w:val="21"/>
          <w:szCs w:val="21"/>
        </w:rPr>
        <w:t xml:space="preserve">There were no </w:t>
      </w:r>
      <w:r w:rsidR="005B48B4" w:rsidRPr="00575624">
        <w:rPr>
          <w:sz w:val="21"/>
          <w:szCs w:val="21"/>
        </w:rPr>
        <w:t xml:space="preserve">changes in </w:t>
      </w:r>
      <w:r w:rsidRPr="00575624">
        <w:rPr>
          <w:sz w:val="21"/>
          <w:szCs w:val="21"/>
        </w:rPr>
        <w:t>contingent assets and no changes in contingent liabilities</w:t>
      </w:r>
      <w:r w:rsidR="00EF3548" w:rsidRPr="00575624">
        <w:rPr>
          <w:sz w:val="21"/>
          <w:szCs w:val="21"/>
        </w:rPr>
        <w:t xml:space="preserve"> </w:t>
      </w:r>
      <w:r w:rsidRPr="00575624">
        <w:rPr>
          <w:sz w:val="21"/>
          <w:szCs w:val="21"/>
        </w:rPr>
        <w:t>since the last audited financial statement</w:t>
      </w:r>
      <w:r w:rsidR="00D10827" w:rsidRPr="00575624">
        <w:rPr>
          <w:sz w:val="21"/>
          <w:szCs w:val="21"/>
        </w:rPr>
        <w:t>s</w:t>
      </w:r>
      <w:r w:rsidRPr="00575624">
        <w:rPr>
          <w:sz w:val="21"/>
          <w:szCs w:val="21"/>
        </w:rPr>
        <w:t>.</w:t>
      </w:r>
    </w:p>
    <w:p w:rsidR="00C94067" w:rsidRDefault="00C94067" w:rsidP="007B05FA">
      <w:pPr>
        <w:pStyle w:val="ListParagraph"/>
        <w:tabs>
          <w:tab w:val="left" w:pos="567"/>
        </w:tabs>
        <w:ind w:left="567"/>
        <w:rPr>
          <w:sz w:val="21"/>
          <w:szCs w:val="21"/>
        </w:rPr>
      </w:pPr>
    </w:p>
    <w:p w:rsidR="00575624" w:rsidRDefault="00575624" w:rsidP="007B05FA">
      <w:pPr>
        <w:pStyle w:val="ListParagraph"/>
        <w:tabs>
          <w:tab w:val="left" w:pos="567"/>
        </w:tabs>
        <w:ind w:left="567"/>
        <w:rPr>
          <w:sz w:val="21"/>
          <w:szCs w:val="21"/>
        </w:rPr>
      </w:pPr>
    </w:p>
    <w:p w:rsidR="00575624" w:rsidRDefault="00575624" w:rsidP="007B05FA">
      <w:pPr>
        <w:pStyle w:val="ListParagraph"/>
        <w:tabs>
          <w:tab w:val="left" w:pos="567"/>
        </w:tabs>
        <w:ind w:left="567"/>
        <w:rPr>
          <w:sz w:val="21"/>
          <w:szCs w:val="21"/>
        </w:rPr>
      </w:pPr>
    </w:p>
    <w:p w:rsidR="00575624" w:rsidRDefault="00575624" w:rsidP="007B05FA">
      <w:pPr>
        <w:pStyle w:val="ListParagraph"/>
        <w:tabs>
          <w:tab w:val="left" w:pos="567"/>
        </w:tabs>
        <w:ind w:left="567"/>
        <w:rPr>
          <w:sz w:val="21"/>
          <w:szCs w:val="21"/>
        </w:rPr>
      </w:pPr>
    </w:p>
    <w:p w:rsidR="00575624" w:rsidRDefault="00575624" w:rsidP="007B05FA">
      <w:pPr>
        <w:pStyle w:val="ListParagraph"/>
        <w:tabs>
          <w:tab w:val="left" w:pos="567"/>
        </w:tabs>
        <w:ind w:left="567"/>
        <w:rPr>
          <w:sz w:val="21"/>
          <w:szCs w:val="21"/>
        </w:rPr>
      </w:pPr>
    </w:p>
    <w:p w:rsidR="00575624" w:rsidRDefault="00575624" w:rsidP="007B05FA">
      <w:pPr>
        <w:pStyle w:val="ListParagraph"/>
        <w:tabs>
          <w:tab w:val="left" w:pos="567"/>
        </w:tabs>
        <w:ind w:left="567"/>
        <w:rPr>
          <w:sz w:val="21"/>
          <w:szCs w:val="21"/>
        </w:rPr>
      </w:pPr>
    </w:p>
    <w:p w:rsidR="00575624" w:rsidRDefault="00575624" w:rsidP="007B05FA">
      <w:pPr>
        <w:pStyle w:val="ListParagraph"/>
        <w:tabs>
          <w:tab w:val="left" w:pos="567"/>
        </w:tabs>
        <w:ind w:left="567"/>
        <w:rPr>
          <w:sz w:val="21"/>
          <w:szCs w:val="21"/>
        </w:rPr>
      </w:pPr>
    </w:p>
    <w:p w:rsidR="00575624" w:rsidRDefault="00575624" w:rsidP="007B05FA">
      <w:pPr>
        <w:pStyle w:val="ListParagraph"/>
        <w:tabs>
          <w:tab w:val="left" w:pos="567"/>
        </w:tabs>
        <w:ind w:left="567"/>
        <w:rPr>
          <w:sz w:val="21"/>
          <w:szCs w:val="21"/>
        </w:rPr>
      </w:pPr>
    </w:p>
    <w:p w:rsidR="00575624" w:rsidRDefault="00575624" w:rsidP="007B05FA">
      <w:pPr>
        <w:pStyle w:val="ListParagraph"/>
        <w:tabs>
          <w:tab w:val="left" w:pos="567"/>
        </w:tabs>
        <w:ind w:left="567"/>
        <w:rPr>
          <w:sz w:val="21"/>
          <w:szCs w:val="21"/>
        </w:rPr>
      </w:pPr>
    </w:p>
    <w:p w:rsidR="00575624" w:rsidRDefault="00575624" w:rsidP="007B05FA">
      <w:pPr>
        <w:pStyle w:val="ListParagraph"/>
        <w:tabs>
          <w:tab w:val="left" w:pos="567"/>
        </w:tabs>
        <w:ind w:left="567"/>
        <w:rPr>
          <w:sz w:val="21"/>
          <w:szCs w:val="21"/>
        </w:rPr>
      </w:pPr>
    </w:p>
    <w:p w:rsidR="00575624" w:rsidRDefault="00575624" w:rsidP="007B05FA">
      <w:pPr>
        <w:pStyle w:val="ListParagraph"/>
        <w:tabs>
          <w:tab w:val="left" w:pos="567"/>
        </w:tabs>
        <w:ind w:left="567"/>
        <w:rPr>
          <w:sz w:val="21"/>
          <w:szCs w:val="21"/>
        </w:rPr>
      </w:pPr>
    </w:p>
    <w:p w:rsidR="00575624" w:rsidRDefault="00575624" w:rsidP="007B05FA">
      <w:pPr>
        <w:pStyle w:val="ListParagraph"/>
        <w:tabs>
          <w:tab w:val="left" w:pos="567"/>
        </w:tabs>
        <w:ind w:left="567"/>
        <w:rPr>
          <w:sz w:val="21"/>
          <w:szCs w:val="21"/>
        </w:rPr>
      </w:pPr>
    </w:p>
    <w:p w:rsidR="00575624" w:rsidRDefault="00575624" w:rsidP="007B05FA">
      <w:pPr>
        <w:pStyle w:val="ListParagraph"/>
        <w:tabs>
          <w:tab w:val="left" w:pos="567"/>
        </w:tabs>
        <w:ind w:left="567"/>
        <w:rPr>
          <w:sz w:val="21"/>
          <w:szCs w:val="21"/>
        </w:rPr>
      </w:pPr>
    </w:p>
    <w:p w:rsidR="00575624" w:rsidRDefault="00575624" w:rsidP="007B05FA">
      <w:pPr>
        <w:pStyle w:val="ListParagraph"/>
        <w:tabs>
          <w:tab w:val="left" w:pos="567"/>
        </w:tabs>
        <w:ind w:left="567"/>
        <w:rPr>
          <w:sz w:val="21"/>
          <w:szCs w:val="21"/>
        </w:rPr>
      </w:pPr>
    </w:p>
    <w:p w:rsidR="00575624" w:rsidRDefault="00575624" w:rsidP="007B05FA">
      <w:pPr>
        <w:pStyle w:val="ListParagraph"/>
        <w:tabs>
          <w:tab w:val="left" w:pos="567"/>
        </w:tabs>
        <w:ind w:left="567"/>
        <w:rPr>
          <w:sz w:val="21"/>
          <w:szCs w:val="21"/>
        </w:rPr>
      </w:pPr>
    </w:p>
    <w:p w:rsidR="00575624" w:rsidRDefault="00575624" w:rsidP="007B05FA">
      <w:pPr>
        <w:pStyle w:val="ListParagraph"/>
        <w:tabs>
          <w:tab w:val="left" w:pos="567"/>
        </w:tabs>
        <w:ind w:left="567"/>
        <w:rPr>
          <w:sz w:val="21"/>
          <w:szCs w:val="21"/>
        </w:rPr>
      </w:pPr>
    </w:p>
    <w:p w:rsidR="00575624" w:rsidRDefault="00575624" w:rsidP="007B05FA">
      <w:pPr>
        <w:pStyle w:val="ListParagraph"/>
        <w:tabs>
          <w:tab w:val="left" w:pos="567"/>
        </w:tabs>
        <w:ind w:left="567"/>
        <w:rPr>
          <w:sz w:val="21"/>
          <w:szCs w:val="21"/>
        </w:rPr>
      </w:pPr>
    </w:p>
    <w:p w:rsidR="00575624" w:rsidRDefault="00575624" w:rsidP="007B05FA">
      <w:pPr>
        <w:pStyle w:val="ListParagraph"/>
        <w:tabs>
          <w:tab w:val="left" w:pos="567"/>
        </w:tabs>
        <w:ind w:left="567"/>
        <w:rPr>
          <w:sz w:val="21"/>
          <w:szCs w:val="21"/>
        </w:rPr>
      </w:pPr>
    </w:p>
    <w:p w:rsidR="00F711EA" w:rsidRDefault="00F711EA" w:rsidP="007B05FA">
      <w:pPr>
        <w:pStyle w:val="ListParagraph"/>
        <w:tabs>
          <w:tab w:val="left" w:pos="567"/>
        </w:tabs>
        <w:ind w:left="567"/>
        <w:rPr>
          <w:sz w:val="21"/>
          <w:szCs w:val="21"/>
        </w:rPr>
      </w:pPr>
    </w:p>
    <w:p w:rsidR="00575624" w:rsidRDefault="00575624" w:rsidP="007B05FA">
      <w:pPr>
        <w:pStyle w:val="ListParagraph"/>
        <w:tabs>
          <w:tab w:val="left" w:pos="567"/>
        </w:tabs>
        <w:ind w:left="567"/>
        <w:rPr>
          <w:sz w:val="21"/>
          <w:szCs w:val="21"/>
        </w:rPr>
      </w:pPr>
    </w:p>
    <w:p w:rsidR="00575624" w:rsidRPr="00575624" w:rsidRDefault="00575624" w:rsidP="007B05FA">
      <w:pPr>
        <w:pStyle w:val="ListParagraph"/>
        <w:tabs>
          <w:tab w:val="left" w:pos="567"/>
        </w:tabs>
        <w:ind w:left="567"/>
        <w:rPr>
          <w:sz w:val="21"/>
          <w:szCs w:val="21"/>
        </w:rPr>
      </w:pPr>
    </w:p>
    <w:p w:rsidR="00FF43E9" w:rsidRPr="00575624" w:rsidRDefault="00FF43E9" w:rsidP="00C47924">
      <w:pPr>
        <w:pStyle w:val="BodyTextIndent2"/>
        <w:numPr>
          <w:ilvl w:val="0"/>
          <w:numId w:val="3"/>
        </w:numPr>
        <w:tabs>
          <w:tab w:val="left" w:pos="567"/>
        </w:tabs>
        <w:ind w:left="567" w:hanging="567"/>
        <w:rPr>
          <w:b/>
          <w:sz w:val="21"/>
          <w:szCs w:val="21"/>
        </w:rPr>
      </w:pPr>
      <w:r w:rsidRPr="00575624">
        <w:rPr>
          <w:b/>
          <w:sz w:val="21"/>
          <w:szCs w:val="21"/>
        </w:rPr>
        <w:lastRenderedPageBreak/>
        <w:t>Related Party Disclosures</w:t>
      </w:r>
    </w:p>
    <w:p w:rsidR="00D04FC6" w:rsidRPr="00575624" w:rsidRDefault="00D04FC6" w:rsidP="00D04FC6">
      <w:pPr>
        <w:pStyle w:val="BodyTextIndent2"/>
        <w:tabs>
          <w:tab w:val="left" w:pos="567"/>
        </w:tabs>
        <w:ind w:left="567"/>
        <w:rPr>
          <w:b/>
          <w:sz w:val="21"/>
          <w:szCs w:val="21"/>
        </w:rPr>
      </w:pPr>
    </w:p>
    <w:p w:rsidR="00D04FC6" w:rsidRPr="00575624" w:rsidRDefault="00FF43E9" w:rsidP="00AA1DE2">
      <w:pPr>
        <w:pStyle w:val="BodyTextIndent2"/>
        <w:tabs>
          <w:tab w:val="left" w:pos="567"/>
        </w:tabs>
        <w:ind w:left="567"/>
        <w:rPr>
          <w:sz w:val="21"/>
          <w:szCs w:val="21"/>
        </w:rPr>
      </w:pPr>
      <w:r w:rsidRPr="00575624">
        <w:rPr>
          <w:sz w:val="21"/>
          <w:szCs w:val="21"/>
        </w:rPr>
        <w:t>Significant related party transactions are as follows:</w:t>
      </w:r>
    </w:p>
    <w:bookmarkStart w:id="331" w:name="_MON_1401954322"/>
    <w:bookmarkStart w:id="332" w:name="_MON_1401954377"/>
    <w:bookmarkStart w:id="333" w:name="_MON_1409566037"/>
    <w:bookmarkStart w:id="334" w:name="_MON_1409566067"/>
    <w:bookmarkStart w:id="335" w:name="_MON_1409566077"/>
    <w:bookmarkStart w:id="336" w:name="_MON_1409566274"/>
    <w:bookmarkStart w:id="337" w:name="_MON_1409566898"/>
    <w:bookmarkStart w:id="338" w:name="_MON_1409567261"/>
    <w:bookmarkStart w:id="339" w:name="_MON_1409567284"/>
    <w:bookmarkStart w:id="340" w:name="_MON_1409567334"/>
    <w:bookmarkStart w:id="341" w:name="_MON_1409567402"/>
    <w:bookmarkStart w:id="342" w:name="_MON_1409567513"/>
    <w:bookmarkStart w:id="343" w:name="_MON_1409567535"/>
    <w:bookmarkStart w:id="344" w:name="_MON_1409567774"/>
    <w:bookmarkStart w:id="345" w:name="_MON_1409567862"/>
    <w:bookmarkStart w:id="346" w:name="_MON_1409567866"/>
    <w:bookmarkStart w:id="347" w:name="_MON_1393688735"/>
    <w:bookmarkStart w:id="348" w:name="_MON_1401291428"/>
    <w:bookmarkStart w:id="349" w:name="_MON_1393689258"/>
    <w:bookmarkStart w:id="350" w:name="_MON_1394434227"/>
    <w:bookmarkStart w:id="351" w:name="_MON_1393746716"/>
    <w:bookmarkStart w:id="352" w:name="_MON_1393746841"/>
    <w:bookmarkStart w:id="353" w:name="_MON_1394532106"/>
    <w:bookmarkStart w:id="354" w:name="_MON_1394532113"/>
    <w:bookmarkStart w:id="355" w:name="_MON_1394532124"/>
    <w:bookmarkStart w:id="356" w:name="_MON_1393747076"/>
    <w:bookmarkStart w:id="357" w:name="_MON_1393756181"/>
    <w:bookmarkStart w:id="358" w:name="_MON_1394093732"/>
    <w:bookmarkStart w:id="359" w:name="_MON_1394093763"/>
    <w:bookmarkStart w:id="360" w:name="_MON_1394093773"/>
    <w:bookmarkStart w:id="361" w:name="_MON_1394099930"/>
    <w:bookmarkStart w:id="362" w:name="_MON_1394100559"/>
    <w:bookmarkStart w:id="363" w:name="_MON_1394264256"/>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Start w:id="364" w:name="_MON_1393688715"/>
    <w:bookmarkEnd w:id="364"/>
    <w:p w:rsidR="005B04B0" w:rsidRPr="00575624" w:rsidRDefault="00F05679" w:rsidP="00C42FD9">
      <w:pPr>
        <w:pStyle w:val="BodyTextIndent2"/>
        <w:tabs>
          <w:tab w:val="left" w:pos="567"/>
        </w:tabs>
        <w:ind w:left="567" w:hanging="567"/>
        <w:rPr>
          <w:sz w:val="21"/>
          <w:szCs w:val="21"/>
        </w:rPr>
      </w:pPr>
      <w:r w:rsidRPr="00575624">
        <w:rPr>
          <w:sz w:val="21"/>
          <w:szCs w:val="21"/>
        </w:rPr>
        <w:object w:dxaOrig="9768" w:dyaOrig="6939">
          <v:shape id="_x0000_i1031" type="#_x0000_t75" style="width:488.2pt;height:347.45pt" o:ole="">
            <v:imagedata r:id="rId23" o:title=""/>
          </v:shape>
          <o:OLEObject Type="Embed" ProgID="Excel.Sheet.12" ShapeID="_x0000_i1031" DrawAspect="Content" ObjectID="_1441724961" r:id="rId24"/>
        </w:object>
      </w:r>
      <w:r w:rsidR="004944AE" w:rsidRPr="00575624">
        <w:rPr>
          <w:sz w:val="21"/>
          <w:szCs w:val="21"/>
        </w:rPr>
        <w:t>The Directors are of the opinion that the above transactions have been established on terms and conditions that are not materially different from those obtainable in transactions with unrelated parties.</w:t>
      </w:r>
      <w:r w:rsidR="00F718C4" w:rsidRPr="00575624">
        <w:rPr>
          <w:sz w:val="21"/>
          <w:szCs w:val="21"/>
        </w:rPr>
        <w:t xml:space="preserve">  All outstanding balances with these </w:t>
      </w:r>
      <w:r w:rsidR="005B48B4" w:rsidRPr="00575624">
        <w:rPr>
          <w:sz w:val="21"/>
          <w:szCs w:val="21"/>
        </w:rPr>
        <w:t xml:space="preserve">related </w:t>
      </w:r>
      <w:r w:rsidR="00F718C4" w:rsidRPr="00575624">
        <w:rPr>
          <w:sz w:val="21"/>
          <w:szCs w:val="21"/>
        </w:rPr>
        <w:t>parties are unsecured and are to be settled in cash within three months of reporting date.</w:t>
      </w:r>
    </w:p>
    <w:p w:rsidR="00543CF0" w:rsidRPr="00575624" w:rsidRDefault="00543CF0" w:rsidP="00DB667A">
      <w:pPr>
        <w:pStyle w:val="BodyTextIndent2"/>
        <w:tabs>
          <w:tab w:val="left" w:pos="567"/>
        </w:tabs>
        <w:ind w:left="567"/>
        <w:rPr>
          <w:sz w:val="21"/>
          <w:szCs w:val="21"/>
        </w:rPr>
      </w:pPr>
    </w:p>
    <w:p w:rsidR="00E83C2C" w:rsidRPr="00575624" w:rsidRDefault="00E83C2C" w:rsidP="00C47924">
      <w:pPr>
        <w:pStyle w:val="BodyTextIndent2"/>
        <w:numPr>
          <w:ilvl w:val="0"/>
          <w:numId w:val="3"/>
        </w:numPr>
        <w:tabs>
          <w:tab w:val="left" w:pos="567"/>
        </w:tabs>
        <w:ind w:left="567" w:hanging="567"/>
        <w:rPr>
          <w:b/>
          <w:sz w:val="21"/>
          <w:szCs w:val="21"/>
        </w:rPr>
      </w:pPr>
      <w:r w:rsidRPr="00575624">
        <w:rPr>
          <w:b/>
          <w:sz w:val="21"/>
          <w:szCs w:val="21"/>
        </w:rPr>
        <w:t>Event After The Reporting Date</w:t>
      </w:r>
    </w:p>
    <w:p w:rsidR="008C676B" w:rsidRPr="00575624" w:rsidRDefault="008C676B" w:rsidP="008C676B">
      <w:pPr>
        <w:pStyle w:val="ListParagraph"/>
        <w:tabs>
          <w:tab w:val="left" w:pos="567"/>
        </w:tabs>
        <w:jc w:val="both"/>
        <w:rPr>
          <w:rFonts w:asciiTheme="minorHAnsi" w:hAnsiTheme="minorHAnsi" w:cstheme="minorHAnsi"/>
          <w:sz w:val="21"/>
          <w:szCs w:val="21"/>
        </w:rPr>
      </w:pPr>
    </w:p>
    <w:p w:rsidR="008E3E9D" w:rsidRPr="00575624" w:rsidRDefault="005B48B4" w:rsidP="005B48B4">
      <w:pPr>
        <w:pStyle w:val="BodyTextIndent2"/>
        <w:numPr>
          <w:ilvl w:val="0"/>
          <w:numId w:val="15"/>
        </w:numPr>
        <w:ind w:left="851"/>
        <w:rPr>
          <w:sz w:val="21"/>
          <w:szCs w:val="21"/>
          <w:lang w:val="en-MY" w:eastAsia="en-MY"/>
        </w:rPr>
      </w:pPr>
      <w:r w:rsidRPr="00575624">
        <w:rPr>
          <w:sz w:val="21"/>
          <w:szCs w:val="21"/>
          <w:lang w:val="en-MY" w:eastAsia="en-MY"/>
        </w:rPr>
        <w:t xml:space="preserve">On 28 August 2013, </w:t>
      </w:r>
      <w:proofErr w:type="spellStart"/>
      <w:r w:rsidRPr="00575624">
        <w:rPr>
          <w:sz w:val="21"/>
          <w:szCs w:val="21"/>
          <w:lang w:val="en-MY" w:eastAsia="en-MY"/>
        </w:rPr>
        <w:t>Yinson</w:t>
      </w:r>
      <w:proofErr w:type="spellEnd"/>
      <w:r w:rsidRPr="00575624">
        <w:rPr>
          <w:sz w:val="21"/>
          <w:szCs w:val="21"/>
          <w:lang w:val="en-MY" w:eastAsia="en-MY"/>
        </w:rPr>
        <w:t xml:space="preserve"> Holdings Berhad (“</w:t>
      </w:r>
      <w:r w:rsidRPr="00575624">
        <w:rPr>
          <w:bCs/>
          <w:sz w:val="21"/>
          <w:szCs w:val="21"/>
          <w:lang w:val="en-MY" w:eastAsia="en-MY"/>
        </w:rPr>
        <w:t>YHB</w:t>
      </w:r>
      <w:r w:rsidRPr="00575624">
        <w:rPr>
          <w:sz w:val="21"/>
          <w:szCs w:val="21"/>
          <w:lang w:val="en-MY" w:eastAsia="en-MY"/>
        </w:rPr>
        <w:t>”) announced that the shareholders of YHB have  approved the following ordinary resolutions in the Extraordinary General Meeting (“</w:t>
      </w:r>
      <w:r w:rsidRPr="00575624">
        <w:rPr>
          <w:bCs/>
          <w:sz w:val="21"/>
          <w:szCs w:val="21"/>
          <w:lang w:val="en-MY" w:eastAsia="en-MY"/>
        </w:rPr>
        <w:t>EGM</w:t>
      </w:r>
      <w:r w:rsidRPr="00575624">
        <w:rPr>
          <w:sz w:val="21"/>
          <w:szCs w:val="21"/>
          <w:lang w:val="en-MY" w:eastAsia="en-MY"/>
        </w:rPr>
        <w:t>”) as set out in the Notice of EGM dated 13 August 2013</w:t>
      </w:r>
    </w:p>
    <w:p w:rsidR="008E3E9D" w:rsidRPr="00575624" w:rsidRDefault="008E3E9D" w:rsidP="008E3E9D">
      <w:pPr>
        <w:pStyle w:val="BodyTextIndent2"/>
        <w:ind w:left="851"/>
        <w:rPr>
          <w:sz w:val="21"/>
          <w:szCs w:val="21"/>
          <w:lang w:val="en-MY" w:eastAsia="en-MY"/>
        </w:rPr>
      </w:pPr>
    </w:p>
    <w:p w:rsidR="008E3E9D" w:rsidRPr="00575624" w:rsidRDefault="00BD0A57" w:rsidP="00C47924">
      <w:pPr>
        <w:pStyle w:val="BodyTextIndent2"/>
        <w:numPr>
          <w:ilvl w:val="0"/>
          <w:numId w:val="9"/>
        </w:numPr>
        <w:ind w:left="1418"/>
        <w:rPr>
          <w:sz w:val="21"/>
          <w:szCs w:val="21"/>
          <w:lang w:val="en-MY" w:eastAsia="en-MY"/>
        </w:rPr>
      </w:pPr>
      <w:r w:rsidRPr="00575624">
        <w:rPr>
          <w:sz w:val="21"/>
          <w:szCs w:val="21"/>
          <w:lang w:val="en-MY" w:eastAsia="en-MY"/>
        </w:rPr>
        <w:t>Proposed acquisition of all ordinary shares of Norwegian Krone (“</w:t>
      </w:r>
      <w:r w:rsidRPr="00575624">
        <w:rPr>
          <w:b/>
          <w:bCs/>
          <w:sz w:val="21"/>
          <w:szCs w:val="21"/>
          <w:lang w:val="en-MY" w:eastAsia="en-MY"/>
        </w:rPr>
        <w:t>NOK</w:t>
      </w:r>
      <w:r w:rsidRPr="00575624">
        <w:rPr>
          <w:sz w:val="21"/>
          <w:szCs w:val="21"/>
          <w:lang w:val="en-MY" w:eastAsia="en-MY"/>
        </w:rPr>
        <w:t>”) 1.00 each in Fred. Olsen Production ASA (“</w:t>
      </w:r>
      <w:r w:rsidRPr="00575624">
        <w:rPr>
          <w:b/>
          <w:bCs/>
          <w:sz w:val="21"/>
          <w:szCs w:val="21"/>
          <w:lang w:val="en-MY" w:eastAsia="en-MY"/>
        </w:rPr>
        <w:t>FOP</w:t>
      </w:r>
      <w:r w:rsidRPr="00575624">
        <w:rPr>
          <w:sz w:val="21"/>
          <w:szCs w:val="21"/>
          <w:lang w:val="en-MY" w:eastAsia="en-MY"/>
        </w:rPr>
        <w:t xml:space="preserve">”), a public listed company on the Oslo Stock Exchange; </w:t>
      </w:r>
    </w:p>
    <w:p w:rsidR="008E3E9D" w:rsidRPr="00575624" w:rsidRDefault="008E3E9D" w:rsidP="00DB2F96">
      <w:pPr>
        <w:pStyle w:val="BodyTextIndent2"/>
        <w:ind w:left="1418"/>
        <w:rPr>
          <w:sz w:val="21"/>
          <w:szCs w:val="21"/>
          <w:lang w:val="en-MY" w:eastAsia="en-MY"/>
        </w:rPr>
      </w:pPr>
    </w:p>
    <w:p w:rsidR="008E3E9D" w:rsidRPr="00575624" w:rsidRDefault="00BD0A57" w:rsidP="00C47924">
      <w:pPr>
        <w:pStyle w:val="BodyTextIndent2"/>
        <w:numPr>
          <w:ilvl w:val="0"/>
          <w:numId w:val="9"/>
        </w:numPr>
        <w:ind w:left="1418"/>
        <w:rPr>
          <w:sz w:val="21"/>
          <w:szCs w:val="21"/>
          <w:lang w:val="en-MY" w:eastAsia="en-MY"/>
        </w:rPr>
      </w:pPr>
      <w:r w:rsidRPr="00575624">
        <w:rPr>
          <w:sz w:val="21"/>
          <w:szCs w:val="21"/>
          <w:lang w:val="en-MY" w:eastAsia="en-MY"/>
        </w:rPr>
        <w:t>Proposed issuance and allotment of 37,809,000 new ordinary shares of RM1.00 each in YHB (“</w:t>
      </w:r>
      <w:r w:rsidRPr="00575624">
        <w:rPr>
          <w:b/>
          <w:bCs/>
          <w:sz w:val="21"/>
          <w:szCs w:val="21"/>
          <w:lang w:val="en-MY" w:eastAsia="en-MY"/>
        </w:rPr>
        <w:t>New Issue Share(s)</w:t>
      </w:r>
      <w:r w:rsidRPr="00575624">
        <w:rPr>
          <w:sz w:val="21"/>
          <w:szCs w:val="21"/>
          <w:lang w:val="en-MY" w:eastAsia="en-MY"/>
        </w:rPr>
        <w:t xml:space="preserve">”) at an issue price of RM2.82 per New Issue Share to </w:t>
      </w:r>
      <w:proofErr w:type="spellStart"/>
      <w:r w:rsidRPr="00575624">
        <w:rPr>
          <w:sz w:val="21"/>
          <w:szCs w:val="21"/>
          <w:lang w:val="en-MY" w:eastAsia="en-MY"/>
        </w:rPr>
        <w:t>Kencana</w:t>
      </w:r>
      <w:proofErr w:type="spellEnd"/>
      <w:r w:rsidRPr="00575624">
        <w:rPr>
          <w:sz w:val="21"/>
          <w:szCs w:val="21"/>
          <w:lang w:val="en-MY" w:eastAsia="en-MY"/>
        </w:rPr>
        <w:t xml:space="preserve"> Capital Sdn Bhd to be satisfied in cash; and</w:t>
      </w:r>
    </w:p>
    <w:p w:rsidR="00AE17AD" w:rsidRPr="00575624" w:rsidRDefault="00AE17AD" w:rsidP="00CE0FDF">
      <w:pPr>
        <w:autoSpaceDE w:val="0"/>
        <w:autoSpaceDN w:val="0"/>
        <w:adjustRightInd w:val="0"/>
        <w:ind w:left="567"/>
        <w:jc w:val="both"/>
        <w:rPr>
          <w:b/>
          <w:sz w:val="21"/>
          <w:szCs w:val="21"/>
          <w:u w:val="single"/>
          <w:lang w:val="en-MY" w:eastAsia="en-MY"/>
        </w:rPr>
      </w:pPr>
    </w:p>
    <w:p w:rsidR="008B1EB9" w:rsidRPr="00AE17AD" w:rsidRDefault="005545EB" w:rsidP="008B1EB9">
      <w:pPr>
        <w:pStyle w:val="ListParagraph"/>
        <w:numPr>
          <w:ilvl w:val="0"/>
          <w:numId w:val="10"/>
        </w:numPr>
        <w:ind w:left="851"/>
        <w:jc w:val="both"/>
        <w:rPr>
          <w:sz w:val="21"/>
          <w:szCs w:val="21"/>
          <w:lang w:val="en-MY" w:eastAsia="en-MY"/>
        </w:rPr>
      </w:pPr>
      <w:r w:rsidRPr="00575624">
        <w:rPr>
          <w:sz w:val="21"/>
          <w:szCs w:val="21"/>
          <w:lang w:val="en-MY" w:eastAsia="en-MY"/>
        </w:rPr>
        <w:t xml:space="preserve">On </w:t>
      </w:r>
      <w:r w:rsidR="00CE0FDF" w:rsidRPr="00575624">
        <w:rPr>
          <w:sz w:val="21"/>
          <w:szCs w:val="21"/>
          <w:lang w:val="en-MY" w:eastAsia="en-MY"/>
        </w:rPr>
        <w:t xml:space="preserve">3 September 2013, </w:t>
      </w:r>
      <w:r w:rsidRPr="00575624">
        <w:rPr>
          <w:sz w:val="21"/>
          <w:szCs w:val="21"/>
          <w:lang w:val="en-MY" w:eastAsia="en-MY"/>
        </w:rPr>
        <w:t>YHB announce</w:t>
      </w:r>
      <w:r w:rsidR="00CE0FDF" w:rsidRPr="00575624">
        <w:rPr>
          <w:sz w:val="21"/>
          <w:szCs w:val="21"/>
          <w:lang w:val="en-MY" w:eastAsia="en-MY"/>
        </w:rPr>
        <w:t>d</w:t>
      </w:r>
      <w:r w:rsidRPr="00575624">
        <w:rPr>
          <w:sz w:val="21"/>
          <w:szCs w:val="21"/>
          <w:lang w:val="en-MY" w:eastAsia="en-MY"/>
        </w:rPr>
        <w:t xml:space="preserve"> that FOP had on 3 September 2013 announced that on 2 September 2013</w:t>
      </w:r>
      <w:r w:rsidR="00CE0FDF" w:rsidRPr="00575624">
        <w:rPr>
          <w:sz w:val="21"/>
          <w:szCs w:val="21"/>
          <w:lang w:val="en-MY" w:eastAsia="en-MY"/>
        </w:rPr>
        <w:t xml:space="preserve"> t</w:t>
      </w:r>
      <w:r w:rsidRPr="00575624">
        <w:rPr>
          <w:sz w:val="21"/>
          <w:szCs w:val="21"/>
          <w:lang w:val="en-MY" w:eastAsia="en-MY"/>
        </w:rPr>
        <w:t xml:space="preserve">he </w:t>
      </w:r>
      <w:proofErr w:type="spellStart"/>
      <w:r w:rsidRPr="00575624">
        <w:rPr>
          <w:sz w:val="21"/>
          <w:szCs w:val="21"/>
          <w:lang w:val="en-MY" w:eastAsia="en-MY"/>
        </w:rPr>
        <w:t>Offeror</w:t>
      </w:r>
      <w:proofErr w:type="spellEnd"/>
      <w:r w:rsidR="00CE0FDF" w:rsidRPr="00575624">
        <w:rPr>
          <w:sz w:val="21"/>
          <w:szCs w:val="21"/>
          <w:lang w:val="en-MY" w:eastAsia="en-MY"/>
        </w:rPr>
        <w:t xml:space="preserve"> (YHB)</w:t>
      </w:r>
      <w:r w:rsidRPr="00575624">
        <w:rPr>
          <w:sz w:val="21"/>
          <w:szCs w:val="21"/>
          <w:lang w:val="en-MY" w:eastAsia="en-MY"/>
        </w:rPr>
        <w:t xml:space="preserve"> had received acceptances for a total of 102,797,421 shares in FOP (including the pre-acceptance by First Olsen Ltd), equalling approximately 97.0% of the outstanding shares and votes in FOP. The </w:t>
      </w:r>
      <w:proofErr w:type="spellStart"/>
      <w:r w:rsidRPr="00575624">
        <w:rPr>
          <w:sz w:val="21"/>
          <w:szCs w:val="21"/>
          <w:lang w:val="en-MY" w:eastAsia="en-MY"/>
        </w:rPr>
        <w:t>Offeror</w:t>
      </w:r>
      <w:proofErr w:type="spellEnd"/>
      <w:r w:rsidRPr="00575624">
        <w:rPr>
          <w:sz w:val="21"/>
          <w:szCs w:val="21"/>
          <w:lang w:val="en-MY" w:eastAsia="en-MY"/>
        </w:rPr>
        <w:t xml:space="preserve"> has up to 18:00 hours (CET) on 29 November 2013 to announce that all the remaining conditions for completion of the Offer have been met or waived. </w:t>
      </w:r>
    </w:p>
    <w:p w:rsidR="00AE17AD" w:rsidRDefault="00AE17AD" w:rsidP="00396AAD">
      <w:pPr>
        <w:pStyle w:val="ListParagraph"/>
        <w:ind w:left="810"/>
        <w:jc w:val="both"/>
        <w:rPr>
          <w:sz w:val="21"/>
          <w:szCs w:val="21"/>
        </w:rPr>
      </w:pPr>
    </w:p>
    <w:p w:rsidR="00396AAD" w:rsidRPr="00AE17AD" w:rsidRDefault="008B1EB9" w:rsidP="00AE17AD">
      <w:pPr>
        <w:pStyle w:val="ListParagraph"/>
        <w:ind w:left="810"/>
        <w:jc w:val="both"/>
        <w:rPr>
          <w:sz w:val="21"/>
          <w:szCs w:val="21"/>
        </w:rPr>
      </w:pPr>
      <w:r w:rsidRPr="00575624">
        <w:rPr>
          <w:sz w:val="21"/>
          <w:szCs w:val="21"/>
        </w:rPr>
        <w:t xml:space="preserve">The above proposals have not been completed as at </w:t>
      </w:r>
      <w:r w:rsidR="005B48B4" w:rsidRPr="00575624">
        <w:rPr>
          <w:sz w:val="21"/>
          <w:szCs w:val="21"/>
        </w:rPr>
        <w:t xml:space="preserve">the </w:t>
      </w:r>
      <w:r w:rsidRPr="00575624">
        <w:rPr>
          <w:sz w:val="21"/>
          <w:szCs w:val="21"/>
        </w:rPr>
        <w:t>date of report.</w:t>
      </w:r>
    </w:p>
    <w:p w:rsidR="00414EEF" w:rsidRPr="00AE17AD" w:rsidRDefault="008B1EB9" w:rsidP="00414EEF">
      <w:pPr>
        <w:pStyle w:val="ListParagraph"/>
        <w:numPr>
          <w:ilvl w:val="0"/>
          <w:numId w:val="10"/>
        </w:numPr>
        <w:ind w:left="851"/>
        <w:jc w:val="both"/>
        <w:rPr>
          <w:sz w:val="21"/>
          <w:szCs w:val="21"/>
          <w:lang w:val="en-MY" w:eastAsia="en-MY"/>
        </w:rPr>
      </w:pPr>
      <w:r w:rsidRPr="00575624">
        <w:rPr>
          <w:color w:val="000000"/>
          <w:sz w:val="21"/>
          <w:szCs w:val="21"/>
          <w:lang w:val="en-MY" w:eastAsia="en-MY"/>
        </w:rPr>
        <w:lastRenderedPageBreak/>
        <w:t>On 13 September 2013, YHB announced that a 30% associate known as YINSON ENERGY SDN. BHD. ("YESB") was incorporated on 12 September 2013.  The authorised share capital of YESB is RM100</w:t>
      </w:r>
      <w:proofErr w:type="gramStart"/>
      <w:r w:rsidRPr="00575624">
        <w:rPr>
          <w:color w:val="000000"/>
          <w:sz w:val="21"/>
          <w:szCs w:val="21"/>
          <w:lang w:val="en-MY" w:eastAsia="en-MY"/>
        </w:rPr>
        <w:t>,000</w:t>
      </w:r>
      <w:proofErr w:type="gramEnd"/>
      <w:r w:rsidRPr="00575624">
        <w:rPr>
          <w:color w:val="000000"/>
          <w:sz w:val="21"/>
          <w:szCs w:val="21"/>
          <w:lang w:val="en-MY" w:eastAsia="en-MY"/>
        </w:rPr>
        <w:t xml:space="preserve"> and the initial issued and paid-up capital is RM1,000.  The principal activities of YESB</w:t>
      </w:r>
      <w:r w:rsidR="005B48B4" w:rsidRPr="00575624">
        <w:rPr>
          <w:color w:val="000000"/>
          <w:sz w:val="21"/>
          <w:szCs w:val="21"/>
          <w:lang w:val="en-MY" w:eastAsia="en-MY"/>
        </w:rPr>
        <w:t xml:space="preserve"> are</w:t>
      </w:r>
      <w:r w:rsidRPr="00575624">
        <w:rPr>
          <w:color w:val="000000"/>
          <w:sz w:val="21"/>
          <w:szCs w:val="21"/>
          <w:lang w:val="en-MY" w:eastAsia="en-MY"/>
        </w:rPr>
        <w:t xml:space="preserve"> the provision of marine vessels for charter and marine services.  YESB has not commenced </w:t>
      </w:r>
      <w:r w:rsidR="005B48B4" w:rsidRPr="00575624">
        <w:rPr>
          <w:color w:val="000000"/>
          <w:sz w:val="21"/>
          <w:szCs w:val="21"/>
          <w:lang w:val="en-MY" w:eastAsia="en-MY"/>
        </w:rPr>
        <w:t xml:space="preserve">its </w:t>
      </w:r>
      <w:r w:rsidRPr="00575624">
        <w:rPr>
          <w:color w:val="000000"/>
          <w:sz w:val="21"/>
          <w:szCs w:val="21"/>
          <w:lang w:val="en-MY" w:eastAsia="en-MY"/>
        </w:rPr>
        <w:t>operation</w:t>
      </w:r>
      <w:r w:rsidR="005B48B4" w:rsidRPr="00575624">
        <w:rPr>
          <w:color w:val="000000"/>
          <w:sz w:val="21"/>
          <w:szCs w:val="21"/>
          <w:lang w:val="en-MY" w:eastAsia="en-MY"/>
        </w:rPr>
        <w:t>s</w:t>
      </w:r>
      <w:r w:rsidRPr="00575624">
        <w:rPr>
          <w:color w:val="000000"/>
          <w:sz w:val="21"/>
          <w:szCs w:val="21"/>
          <w:lang w:val="en-MY" w:eastAsia="en-MY"/>
        </w:rPr>
        <w:t xml:space="preserve">. </w:t>
      </w:r>
    </w:p>
    <w:p w:rsidR="008E608D" w:rsidRPr="00575624" w:rsidRDefault="008E608D" w:rsidP="007602C9">
      <w:pPr>
        <w:pStyle w:val="BodyTextIndent2"/>
        <w:tabs>
          <w:tab w:val="left" w:pos="567"/>
        </w:tabs>
        <w:ind w:left="993"/>
        <w:rPr>
          <w:rFonts w:asciiTheme="minorHAnsi" w:hAnsiTheme="minorHAnsi" w:cstheme="minorHAnsi"/>
          <w:sz w:val="21"/>
          <w:szCs w:val="21"/>
        </w:rPr>
      </w:pPr>
    </w:p>
    <w:bookmarkStart w:id="365" w:name="_MON_1394099715"/>
    <w:bookmarkEnd w:id="365"/>
    <w:p w:rsidR="008E608D" w:rsidRDefault="00543CF0" w:rsidP="00604EAE">
      <w:pPr>
        <w:pStyle w:val="BodyTextIndent2"/>
        <w:ind w:left="0"/>
        <w:rPr>
          <w:rFonts w:asciiTheme="minorHAnsi" w:hAnsiTheme="minorHAnsi" w:cstheme="minorHAnsi"/>
          <w:sz w:val="21"/>
          <w:szCs w:val="21"/>
        </w:rPr>
      </w:pPr>
      <w:r w:rsidRPr="00575624">
        <w:rPr>
          <w:rFonts w:asciiTheme="minorHAnsi" w:hAnsiTheme="minorHAnsi" w:cstheme="minorHAnsi"/>
          <w:sz w:val="21"/>
          <w:szCs w:val="21"/>
        </w:rPr>
        <w:object w:dxaOrig="9482" w:dyaOrig="602">
          <v:shape id="_x0000_i1032" type="#_x0000_t75" style="width:474pt;height:30pt" o:ole="">
            <v:imagedata r:id="rId25" o:title=""/>
          </v:shape>
          <o:OLEObject Type="Embed" ProgID="Excel.Sheet.12" ShapeID="_x0000_i1032" DrawAspect="Content" ObjectID="_1441724962" r:id="rId26"/>
        </w:object>
      </w:r>
    </w:p>
    <w:p w:rsidR="00575624" w:rsidRPr="00575624" w:rsidRDefault="00575624" w:rsidP="00604EAE">
      <w:pPr>
        <w:pStyle w:val="BodyTextIndent2"/>
        <w:ind w:left="0"/>
        <w:rPr>
          <w:rFonts w:asciiTheme="minorHAnsi" w:hAnsiTheme="minorHAnsi" w:cstheme="minorHAnsi"/>
          <w:sz w:val="21"/>
          <w:szCs w:val="21"/>
        </w:rPr>
      </w:pPr>
    </w:p>
    <w:p w:rsidR="00604EAE" w:rsidRPr="00575624" w:rsidRDefault="00604EAE" w:rsidP="00C47924">
      <w:pPr>
        <w:pStyle w:val="BodyTextIndent2"/>
        <w:numPr>
          <w:ilvl w:val="0"/>
          <w:numId w:val="3"/>
        </w:numPr>
        <w:ind w:left="567" w:hanging="567"/>
        <w:rPr>
          <w:b/>
          <w:sz w:val="21"/>
          <w:szCs w:val="21"/>
        </w:rPr>
      </w:pPr>
      <w:r w:rsidRPr="00575624">
        <w:rPr>
          <w:b/>
          <w:sz w:val="21"/>
          <w:szCs w:val="21"/>
        </w:rPr>
        <w:t>Performance Review</w:t>
      </w:r>
    </w:p>
    <w:p w:rsidR="0062028E" w:rsidRPr="00575624" w:rsidRDefault="0062028E" w:rsidP="0062028E">
      <w:pPr>
        <w:pStyle w:val="BodyTextIndent2"/>
        <w:ind w:left="567"/>
        <w:rPr>
          <w:b/>
          <w:sz w:val="21"/>
          <w:szCs w:val="21"/>
        </w:rPr>
      </w:pPr>
    </w:p>
    <w:p w:rsidR="00604EAE" w:rsidRPr="00575624" w:rsidRDefault="00604EAE" w:rsidP="00604EAE">
      <w:pPr>
        <w:pStyle w:val="BodyTextIndent2"/>
        <w:ind w:left="567" w:right="-164"/>
        <w:rPr>
          <w:color w:val="000000"/>
          <w:sz w:val="21"/>
          <w:szCs w:val="21"/>
          <w:lang w:val="en-MY" w:eastAsia="en-MY"/>
        </w:rPr>
      </w:pPr>
      <w:r w:rsidRPr="00575624">
        <w:rPr>
          <w:color w:val="000000"/>
          <w:sz w:val="21"/>
          <w:szCs w:val="21"/>
          <w:lang w:val="en-MY" w:eastAsia="en-MY"/>
        </w:rPr>
        <w:t xml:space="preserve">Explanatory comment on the performance of the Group’s business activities is provided in Note </w:t>
      </w:r>
      <w:r w:rsidR="005B48B4" w:rsidRPr="00575624">
        <w:rPr>
          <w:color w:val="000000"/>
          <w:sz w:val="21"/>
          <w:szCs w:val="21"/>
          <w:lang w:val="en-MY" w:eastAsia="en-MY"/>
        </w:rPr>
        <w:t>6</w:t>
      </w:r>
      <w:r w:rsidRPr="00575624">
        <w:rPr>
          <w:color w:val="000000"/>
          <w:sz w:val="21"/>
          <w:szCs w:val="21"/>
          <w:lang w:val="en-MY" w:eastAsia="en-MY"/>
        </w:rPr>
        <w:t>.</w:t>
      </w:r>
    </w:p>
    <w:p w:rsidR="008E608D" w:rsidRPr="00575624" w:rsidRDefault="008E608D" w:rsidP="00604EAE">
      <w:pPr>
        <w:pStyle w:val="BodyTextIndent2"/>
        <w:ind w:left="567" w:right="-164"/>
        <w:rPr>
          <w:b/>
          <w:sz w:val="21"/>
          <w:szCs w:val="21"/>
        </w:rPr>
      </w:pPr>
    </w:p>
    <w:p w:rsidR="00F718C4" w:rsidRPr="00575624" w:rsidRDefault="00F718C4" w:rsidP="00C47924">
      <w:pPr>
        <w:pStyle w:val="BodyTextIndent2"/>
        <w:numPr>
          <w:ilvl w:val="0"/>
          <w:numId w:val="3"/>
        </w:numPr>
        <w:tabs>
          <w:tab w:val="left" w:pos="567"/>
        </w:tabs>
        <w:ind w:left="567" w:hanging="567"/>
        <w:rPr>
          <w:b/>
          <w:sz w:val="21"/>
          <w:szCs w:val="21"/>
        </w:rPr>
      </w:pPr>
      <w:r w:rsidRPr="00575624">
        <w:rPr>
          <w:b/>
          <w:sz w:val="21"/>
          <w:szCs w:val="21"/>
        </w:rPr>
        <w:t>Material Changes in the Profit Before Taxation of Current Quarter Compared with Preceding Quarter</w:t>
      </w:r>
    </w:p>
    <w:p w:rsidR="00F718C4" w:rsidRPr="00575624" w:rsidRDefault="00F718C4" w:rsidP="00F718C4">
      <w:pPr>
        <w:tabs>
          <w:tab w:val="left" w:pos="567"/>
        </w:tabs>
        <w:ind w:left="567" w:hanging="567"/>
        <w:jc w:val="both"/>
        <w:rPr>
          <w:sz w:val="21"/>
          <w:szCs w:val="21"/>
        </w:rPr>
      </w:pPr>
    </w:p>
    <w:p w:rsidR="005B48B4" w:rsidRPr="00575624" w:rsidRDefault="005B48B4" w:rsidP="005B48B4">
      <w:pPr>
        <w:tabs>
          <w:tab w:val="left" w:pos="567"/>
        </w:tabs>
        <w:autoSpaceDE w:val="0"/>
        <w:autoSpaceDN w:val="0"/>
        <w:adjustRightInd w:val="0"/>
        <w:ind w:left="567"/>
        <w:jc w:val="both"/>
        <w:rPr>
          <w:sz w:val="21"/>
          <w:szCs w:val="21"/>
        </w:rPr>
      </w:pPr>
      <w:r w:rsidRPr="00575624">
        <w:rPr>
          <w:sz w:val="21"/>
          <w:szCs w:val="21"/>
        </w:rPr>
        <w:t>The Group’s profit before tax for the 2</w:t>
      </w:r>
      <w:r w:rsidRPr="00575624">
        <w:rPr>
          <w:sz w:val="21"/>
          <w:szCs w:val="21"/>
          <w:vertAlign w:val="superscript"/>
        </w:rPr>
        <w:t>nd</w:t>
      </w:r>
      <w:r w:rsidRPr="00575624">
        <w:rPr>
          <w:sz w:val="21"/>
          <w:szCs w:val="21"/>
        </w:rPr>
        <w:t xml:space="preserve"> quarter of FY 2014 has decreased by RM4.766 million as compared to the preceding quarter. The decrease was mainly due to lower contribution from joint venture companies in the 2</w:t>
      </w:r>
      <w:r w:rsidRPr="00575624">
        <w:rPr>
          <w:sz w:val="21"/>
          <w:szCs w:val="21"/>
          <w:vertAlign w:val="superscript"/>
        </w:rPr>
        <w:t>nd</w:t>
      </w:r>
      <w:r w:rsidRPr="00575624">
        <w:rPr>
          <w:sz w:val="21"/>
          <w:szCs w:val="21"/>
        </w:rPr>
        <w:t xml:space="preserve"> quarter and an unrealized loss on foreign exchange of RM2.500 million has been recognized in the 2</w:t>
      </w:r>
      <w:r w:rsidRPr="00575624">
        <w:rPr>
          <w:sz w:val="21"/>
          <w:szCs w:val="21"/>
          <w:vertAlign w:val="superscript"/>
        </w:rPr>
        <w:t>nd</w:t>
      </w:r>
      <w:r w:rsidRPr="00575624">
        <w:rPr>
          <w:sz w:val="21"/>
          <w:szCs w:val="21"/>
        </w:rPr>
        <w:t xml:space="preserve"> quarter arising from impact of weakening of Ringgit Malaysia against United States Dollar.</w:t>
      </w:r>
    </w:p>
    <w:p w:rsidR="008E608D" w:rsidRPr="00575624" w:rsidRDefault="008E608D" w:rsidP="0062028E">
      <w:pPr>
        <w:pStyle w:val="BodyTextIndent2"/>
        <w:tabs>
          <w:tab w:val="left" w:pos="567"/>
        </w:tabs>
        <w:ind w:left="567" w:right="-164"/>
        <w:rPr>
          <w:color w:val="000000"/>
          <w:sz w:val="21"/>
          <w:szCs w:val="21"/>
          <w:lang w:val="en-MY" w:eastAsia="en-MY"/>
        </w:rPr>
      </w:pPr>
    </w:p>
    <w:p w:rsidR="00543CF0" w:rsidRPr="00575624" w:rsidRDefault="00543CF0" w:rsidP="00C47924">
      <w:pPr>
        <w:numPr>
          <w:ilvl w:val="0"/>
          <w:numId w:val="3"/>
        </w:numPr>
        <w:tabs>
          <w:tab w:val="left" w:pos="567"/>
        </w:tabs>
        <w:ind w:hanging="720"/>
        <w:jc w:val="both"/>
        <w:rPr>
          <w:b/>
          <w:sz w:val="21"/>
          <w:szCs w:val="21"/>
        </w:rPr>
      </w:pPr>
      <w:r w:rsidRPr="00575624">
        <w:rPr>
          <w:b/>
          <w:sz w:val="21"/>
          <w:szCs w:val="21"/>
        </w:rPr>
        <w:t>Commentary on Prospects</w:t>
      </w:r>
    </w:p>
    <w:p w:rsidR="00543CF0" w:rsidRPr="00575624" w:rsidRDefault="00543CF0" w:rsidP="00543CF0">
      <w:pPr>
        <w:tabs>
          <w:tab w:val="left" w:pos="567"/>
        </w:tabs>
        <w:ind w:left="567" w:hanging="567"/>
        <w:jc w:val="both"/>
        <w:rPr>
          <w:sz w:val="21"/>
          <w:szCs w:val="21"/>
        </w:rPr>
      </w:pPr>
    </w:p>
    <w:p w:rsidR="000D6F7E" w:rsidRPr="00575624" w:rsidRDefault="007C07C3" w:rsidP="00DF730A">
      <w:pPr>
        <w:ind w:left="630"/>
        <w:jc w:val="both"/>
        <w:rPr>
          <w:sz w:val="21"/>
          <w:szCs w:val="21"/>
        </w:rPr>
      </w:pPr>
      <w:r w:rsidRPr="00575624">
        <w:rPr>
          <w:sz w:val="21"/>
          <w:szCs w:val="21"/>
        </w:rPr>
        <w:t xml:space="preserve">The global economy expanded at a modest pace </w:t>
      </w:r>
      <w:r w:rsidR="000D6F7E" w:rsidRPr="00575624">
        <w:rPr>
          <w:sz w:val="21"/>
          <w:szCs w:val="21"/>
        </w:rPr>
        <w:t xml:space="preserve">during the first half </w:t>
      </w:r>
      <w:r w:rsidR="00B5179E" w:rsidRPr="00575624">
        <w:rPr>
          <w:sz w:val="21"/>
          <w:szCs w:val="21"/>
        </w:rPr>
        <w:t xml:space="preserve">of </w:t>
      </w:r>
      <w:r w:rsidR="005B48B4" w:rsidRPr="00575624">
        <w:rPr>
          <w:sz w:val="21"/>
          <w:szCs w:val="21"/>
        </w:rPr>
        <w:t xml:space="preserve">year </w:t>
      </w:r>
      <w:r w:rsidR="00B5179E" w:rsidRPr="00575624">
        <w:rPr>
          <w:sz w:val="21"/>
          <w:szCs w:val="21"/>
        </w:rPr>
        <w:t>2013 and g</w:t>
      </w:r>
      <w:r w:rsidRPr="00575624">
        <w:rPr>
          <w:sz w:val="21"/>
          <w:szCs w:val="21"/>
        </w:rPr>
        <w:t xml:space="preserve">oing forward it is expected to </w:t>
      </w:r>
      <w:r w:rsidR="000D6F7E" w:rsidRPr="00575624">
        <w:rPr>
          <w:sz w:val="21"/>
          <w:szCs w:val="21"/>
        </w:rPr>
        <w:t>face downside risks.</w:t>
      </w:r>
      <w:r w:rsidRPr="00575624">
        <w:rPr>
          <w:sz w:val="21"/>
          <w:szCs w:val="21"/>
        </w:rPr>
        <w:t xml:space="preserve"> </w:t>
      </w:r>
      <w:r w:rsidR="000D6F7E" w:rsidRPr="00575624">
        <w:rPr>
          <w:sz w:val="21"/>
          <w:szCs w:val="21"/>
        </w:rPr>
        <w:t xml:space="preserve"> </w:t>
      </w:r>
      <w:r w:rsidRPr="00575624">
        <w:rPr>
          <w:sz w:val="21"/>
          <w:szCs w:val="21"/>
        </w:rPr>
        <w:t xml:space="preserve">For the Malaysian economy, </w:t>
      </w:r>
      <w:r w:rsidR="000D6F7E" w:rsidRPr="00575624">
        <w:rPr>
          <w:sz w:val="21"/>
          <w:szCs w:val="21"/>
        </w:rPr>
        <w:t>prolonged weakness in the external environment has affected growth performance of the economy going forward.</w:t>
      </w:r>
    </w:p>
    <w:p w:rsidR="00F4594D" w:rsidRPr="00575624" w:rsidRDefault="00F4594D" w:rsidP="00DF730A">
      <w:pPr>
        <w:ind w:left="630"/>
        <w:jc w:val="both"/>
        <w:rPr>
          <w:sz w:val="21"/>
          <w:szCs w:val="21"/>
        </w:rPr>
      </w:pPr>
    </w:p>
    <w:p w:rsidR="002460D8" w:rsidRPr="00575624" w:rsidRDefault="000D6F7E" w:rsidP="00DF730A">
      <w:pPr>
        <w:ind w:left="630"/>
        <w:jc w:val="both"/>
        <w:rPr>
          <w:sz w:val="21"/>
          <w:szCs w:val="21"/>
        </w:rPr>
      </w:pPr>
      <w:r w:rsidRPr="00575624">
        <w:rPr>
          <w:sz w:val="21"/>
          <w:szCs w:val="21"/>
        </w:rPr>
        <w:t>Barring unforeseen circumstances, t</w:t>
      </w:r>
      <w:r w:rsidR="00835A9C" w:rsidRPr="00575624">
        <w:rPr>
          <w:sz w:val="21"/>
          <w:szCs w:val="21"/>
        </w:rPr>
        <w:t>he Group</w:t>
      </w:r>
      <w:r w:rsidR="00F4594D" w:rsidRPr="00575624">
        <w:rPr>
          <w:sz w:val="21"/>
          <w:szCs w:val="21"/>
        </w:rPr>
        <w:t xml:space="preserve"> </w:t>
      </w:r>
      <w:r w:rsidR="002460D8" w:rsidRPr="00575624">
        <w:rPr>
          <w:sz w:val="21"/>
          <w:szCs w:val="21"/>
        </w:rPr>
        <w:t xml:space="preserve">shall strive to sustain a satisfactory performance for </w:t>
      </w:r>
      <w:r w:rsidR="00835A9C" w:rsidRPr="00575624">
        <w:rPr>
          <w:sz w:val="21"/>
          <w:szCs w:val="21"/>
        </w:rPr>
        <w:t>the</w:t>
      </w:r>
      <w:r w:rsidR="00F4594D" w:rsidRPr="00575624">
        <w:rPr>
          <w:sz w:val="21"/>
          <w:szCs w:val="21"/>
        </w:rPr>
        <w:t xml:space="preserve"> </w:t>
      </w:r>
      <w:r w:rsidR="002460D8" w:rsidRPr="00575624">
        <w:rPr>
          <w:sz w:val="21"/>
          <w:szCs w:val="21"/>
        </w:rPr>
        <w:t>rest of the current</w:t>
      </w:r>
      <w:r w:rsidR="00F4594D" w:rsidRPr="00575624">
        <w:rPr>
          <w:sz w:val="21"/>
          <w:szCs w:val="21"/>
        </w:rPr>
        <w:t xml:space="preserve"> financial year</w:t>
      </w:r>
      <w:r w:rsidR="002460D8" w:rsidRPr="00575624">
        <w:rPr>
          <w:sz w:val="21"/>
          <w:szCs w:val="21"/>
        </w:rPr>
        <w:t>.</w:t>
      </w:r>
    </w:p>
    <w:p w:rsidR="008E608D" w:rsidRPr="00575624" w:rsidRDefault="008E608D" w:rsidP="00DF730A">
      <w:pPr>
        <w:tabs>
          <w:tab w:val="left" w:pos="567"/>
        </w:tabs>
        <w:ind w:left="630"/>
        <w:rPr>
          <w:sz w:val="21"/>
          <w:szCs w:val="21"/>
        </w:rPr>
      </w:pPr>
    </w:p>
    <w:p w:rsidR="00543CF0" w:rsidRPr="00575624" w:rsidRDefault="00543CF0" w:rsidP="00C47924">
      <w:pPr>
        <w:numPr>
          <w:ilvl w:val="0"/>
          <w:numId w:val="3"/>
        </w:numPr>
        <w:tabs>
          <w:tab w:val="left" w:pos="567"/>
        </w:tabs>
        <w:ind w:hanging="720"/>
        <w:jc w:val="both"/>
        <w:rPr>
          <w:b/>
          <w:sz w:val="21"/>
          <w:szCs w:val="21"/>
        </w:rPr>
      </w:pPr>
      <w:r w:rsidRPr="00575624">
        <w:rPr>
          <w:b/>
          <w:sz w:val="21"/>
          <w:szCs w:val="21"/>
        </w:rPr>
        <w:t>Profit Forecast</w:t>
      </w:r>
    </w:p>
    <w:p w:rsidR="00543CF0" w:rsidRPr="00575624" w:rsidRDefault="00543CF0" w:rsidP="00543CF0">
      <w:pPr>
        <w:tabs>
          <w:tab w:val="left" w:pos="567"/>
        </w:tabs>
        <w:ind w:left="567" w:hanging="567"/>
        <w:jc w:val="both"/>
        <w:rPr>
          <w:b/>
          <w:sz w:val="21"/>
          <w:szCs w:val="21"/>
        </w:rPr>
      </w:pPr>
      <w:r w:rsidRPr="00575624">
        <w:rPr>
          <w:b/>
          <w:sz w:val="21"/>
          <w:szCs w:val="21"/>
        </w:rPr>
        <w:tab/>
      </w:r>
    </w:p>
    <w:p w:rsidR="009728FA" w:rsidRPr="00575624" w:rsidRDefault="00543CF0" w:rsidP="004547A6">
      <w:pPr>
        <w:pStyle w:val="BlockText"/>
        <w:tabs>
          <w:tab w:val="left" w:pos="567"/>
        </w:tabs>
        <w:ind w:left="567" w:right="0"/>
        <w:rPr>
          <w:sz w:val="21"/>
          <w:szCs w:val="21"/>
        </w:rPr>
      </w:pPr>
      <w:r w:rsidRPr="00575624">
        <w:rPr>
          <w:sz w:val="21"/>
          <w:szCs w:val="21"/>
        </w:rPr>
        <w:t>The disclosure requirements for explanatory notes for the variance of actual profit after tax and non-controlling interests and forecast profit after tax and non-controlling interests are not applicable</w:t>
      </w:r>
      <w:r w:rsidR="005B48B4" w:rsidRPr="00575624">
        <w:rPr>
          <w:sz w:val="21"/>
          <w:szCs w:val="21"/>
        </w:rPr>
        <w:t>.</w:t>
      </w:r>
    </w:p>
    <w:p w:rsidR="00F645D8" w:rsidRPr="00575624" w:rsidRDefault="00F645D8" w:rsidP="00DB667A">
      <w:pPr>
        <w:pStyle w:val="BodyTextIndent2"/>
        <w:tabs>
          <w:tab w:val="left" w:pos="567"/>
        </w:tabs>
        <w:ind w:left="567" w:hanging="567"/>
        <w:rPr>
          <w:sz w:val="21"/>
          <w:szCs w:val="21"/>
        </w:rPr>
      </w:pPr>
    </w:p>
    <w:p w:rsidR="00543CF0" w:rsidRPr="00575624" w:rsidRDefault="00543CF0" w:rsidP="006C4481">
      <w:pPr>
        <w:pStyle w:val="ListParagraph"/>
        <w:numPr>
          <w:ilvl w:val="0"/>
          <w:numId w:val="3"/>
        </w:numPr>
        <w:tabs>
          <w:tab w:val="left" w:pos="567"/>
        </w:tabs>
        <w:ind w:hanging="720"/>
        <w:jc w:val="both"/>
        <w:rPr>
          <w:b/>
          <w:sz w:val="21"/>
          <w:szCs w:val="21"/>
        </w:rPr>
      </w:pPr>
      <w:r w:rsidRPr="00575624">
        <w:rPr>
          <w:b/>
          <w:sz w:val="21"/>
          <w:szCs w:val="21"/>
        </w:rPr>
        <w:t>Status of Corporate Proposals</w:t>
      </w:r>
    </w:p>
    <w:p w:rsidR="00C13426" w:rsidRPr="00575624" w:rsidRDefault="00C13426" w:rsidP="00A60C52">
      <w:pPr>
        <w:tabs>
          <w:tab w:val="left" w:pos="567"/>
        </w:tabs>
        <w:ind w:left="567"/>
        <w:jc w:val="both"/>
        <w:rPr>
          <w:b/>
          <w:sz w:val="21"/>
          <w:szCs w:val="21"/>
        </w:rPr>
      </w:pPr>
    </w:p>
    <w:p w:rsidR="000D0FBA" w:rsidRPr="00575624" w:rsidRDefault="00A60C52" w:rsidP="00C47924">
      <w:pPr>
        <w:pStyle w:val="ListParagraph"/>
        <w:numPr>
          <w:ilvl w:val="0"/>
          <w:numId w:val="5"/>
        </w:numPr>
        <w:tabs>
          <w:tab w:val="left" w:pos="567"/>
        </w:tabs>
        <w:ind w:left="993" w:hanging="426"/>
        <w:jc w:val="both"/>
        <w:rPr>
          <w:sz w:val="21"/>
          <w:szCs w:val="21"/>
        </w:rPr>
      </w:pPr>
      <w:r w:rsidRPr="00575624">
        <w:rPr>
          <w:sz w:val="21"/>
          <w:szCs w:val="21"/>
        </w:rPr>
        <w:t xml:space="preserve">The </w:t>
      </w:r>
      <w:r w:rsidR="00C13426" w:rsidRPr="00575624">
        <w:rPr>
          <w:sz w:val="21"/>
          <w:szCs w:val="21"/>
        </w:rPr>
        <w:t>corporate proposals announced</w:t>
      </w:r>
      <w:r w:rsidR="007C07C3" w:rsidRPr="00575624">
        <w:rPr>
          <w:sz w:val="21"/>
          <w:szCs w:val="21"/>
        </w:rPr>
        <w:t xml:space="preserve"> as provided in Note 1</w:t>
      </w:r>
      <w:r w:rsidR="00942E94" w:rsidRPr="00575624">
        <w:rPr>
          <w:sz w:val="21"/>
          <w:szCs w:val="21"/>
        </w:rPr>
        <w:t>8</w:t>
      </w:r>
      <w:r w:rsidRPr="00575624">
        <w:rPr>
          <w:sz w:val="21"/>
          <w:szCs w:val="21"/>
        </w:rPr>
        <w:t xml:space="preserve"> (</w:t>
      </w:r>
      <w:r w:rsidR="0020027D" w:rsidRPr="00575624">
        <w:rPr>
          <w:sz w:val="21"/>
          <w:szCs w:val="21"/>
        </w:rPr>
        <w:t>a</w:t>
      </w:r>
      <w:r w:rsidRPr="00575624">
        <w:rPr>
          <w:sz w:val="21"/>
          <w:szCs w:val="21"/>
        </w:rPr>
        <w:t>) and (</w:t>
      </w:r>
      <w:r w:rsidR="0020027D" w:rsidRPr="00575624">
        <w:rPr>
          <w:sz w:val="21"/>
          <w:szCs w:val="21"/>
        </w:rPr>
        <w:t>b</w:t>
      </w:r>
      <w:r w:rsidRPr="00575624">
        <w:rPr>
          <w:sz w:val="21"/>
          <w:szCs w:val="21"/>
        </w:rPr>
        <w:t xml:space="preserve">) </w:t>
      </w:r>
      <w:r w:rsidR="007C07C3" w:rsidRPr="00575624">
        <w:rPr>
          <w:sz w:val="21"/>
          <w:szCs w:val="21"/>
        </w:rPr>
        <w:t>are</w:t>
      </w:r>
      <w:r w:rsidR="00C13426" w:rsidRPr="00575624">
        <w:rPr>
          <w:sz w:val="21"/>
          <w:szCs w:val="21"/>
        </w:rPr>
        <w:t xml:space="preserve"> not completed as at the date of issue of these financial statements.</w:t>
      </w:r>
    </w:p>
    <w:p w:rsidR="00AE17AD" w:rsidRPr="00575624" w:rsidRDefault="00AE17AD" w:rsidP="002E615F">
      <w:pPr>
        <w:tabs>
          <w:tab w:val="left" w:pos="567"/>
        </w:tabs>
        <w:ind w:left="567"/>
        <w:jc w:val="both"/>
        <w:rPr>
          <w:color w:val="FF0000"/>
          <w:sz w:val="21"/>
          <w:szCs w:val="21"/>
        </w:rPr>
      </w:pPr>
    </w:p>
    <w:p w:rsidR="000B5ECE" w:rsidRDefault="002E615F" w:rsidP="00F35DE5">
      <w:pPr>
        <w:pStyle w:val="ListParagraph"/>
        <w:numPr>
          <w:ilvl w:val="0"/>
          <w:numId w:val="5"/>
        </w:numPr>
        <w:tabs>
          <w:tab w:val="left" w:pos="993"/>
        </w:tabs>
        <w:ind w:left="567" w:firstLine="0"/>
        <w:jc w:val="both"/>
        <w:rPr>
          <w:sz w:val="21"/>
          <w:szCs w:val="21"/>
        </w:rPr>
      </w:pPr>
      <w:r w:rsidRPr="00575624">
        <w:rPr>
          <w:sz w:val="21"/>
          <w:szCs w:val="21"/>
        </w:rPr>
        <w:t xml:space="preserve">Status of </w:t>
      </w:r>
      <w:proofErr w:type="spellStart"/>
      <w:r w:rsidRPr="00575624">
        <w:rPr>
          <w:sz w:val="21"/>
          <w:szCs w:val="21"/>
        </w:rPr>
        <w:t>Utilisation</w:t>
      </w:r>
      <w:proofErr w:type="spellEnd"/>
      <w:r w:rsidRPr="00575624">
        <w:rPr>
          <w:sz w:val="21"/>
          <w:szCs w:val="21"/>
        </w:rPr>
        <w:t xml:space="preserve"> of Proceeds </w:t>
      </w:r>
      <w:proofErr w:type="gramStart"/>
      <w:r w:rsidRPr="00575624">
        <w:rPr>
          <w:sz w:val="21"/>
          <w:szCs w:val="21"/>
        </w:rPr>
        <w:t>From</w:t>
      </w:r>
      <w:proofErr w:type="gramEnd"/>
      <w:r w:rsidRPr="00575624">
        <w:rPr>
          <w:sz w:val="21"/>
          <w:szCs w:val="21"/>
        </w:rPr>
        <w:t xml:space="preserve"> Share Placement</w:t>
      </w:r>
      <w:r w:rsidR="00F35DE5" w:rsidRPr="00575624">
        <w:rPr>
          <w:sz w:val="21"/>
          <w:szCs w:val="21"/>
        </w:rPr>
        <w:t xml:space="preserve"> (“SP”)</w:t>
      </w:r>
      <w:r w:rsidR="00455BBF" w:rsidRPr="00575624">
        <w:rPr>
          <w:sz w:val="21"/>
          <w:szCs w:val="21"/>
        </w:rPr>
        <w:t xml:space="preserve"> as at 2</w:t>
      </w:r>
      <w:r w:rsidR="0005204F">
        <w:rPr>
          <w:sz w:val="21"/>
          <w:szCs w:val="21"/>
        </w:rPr>
        <w:t>6</w:t>
      </w:r>
      <w:r w:rsidR="00455BBF" w:rsidRPr="00575624">
        <w:rPr>
          <w:sz w:val="21"/>
          <w:szCs w:val="21"/>
        </w:rPr>
        <w:t xml:space="preserve"> </w:t>
      </w:r>
      <w:r w:rsidR="00D52DB4" w:rsidRPr="00575624">
        <w:rPr>
          <w:sz w:val="21"/>
          <w:szCs w:val="21"/>
        </w:rPr>
        <w:t>September</w:t>
      </w:r>
      <w:r w:rsidR="00455BBF" w:rsidRPr="00575624">
        <w:rPr>
          <w:sz w:val="21"/>
          <w:szCs w:val="21"/>
        </w:rPr>
        <w:t xml:space="preserve"> 2013.</w:t>
      </w:r>
      <w:bookmarkStart w:id="366" w:name="_MON_1409665577"/>
      <w:bookmarkStart w:id="367" w:name="_MON_1409650463"/>
      <w:bookmarkStart w:id="368" w:name="_MON_1409650473"/>
      <w:bookmarkStart w:id="369" w:name="_MON_1409650592"/>
      <w:bookmarkStart w:id="370" w:name="_MON_1410006328"/>
      <w:bookmarkStart w:id="371" w:name="_MON_1409650449"/>
      <w:bookmarkStart w:id="372" w:name="_MON_1409665458"/>
      <w:bookmarkStart w:id="373" w:name="_MON_1409665525"/>
      <w:bookmarkEnd w:id="366"/>
      <w:bookmarkEnd w:id="367"/>
      <w:bookmarkEnd w:id="368"/>
      <w:bookmarkEnd w:id="369"/>
      <w:bookmarkEnd w:id="370"/>
      <w:bookmarkEnd w:id="371"/>
      <w:bookmarkEnd w:id="372"/>
      <w:bookmarkEnd w:id="373"/>
    </w:p>
    <w:p w:rsidR="009139A0" w:rsidRPr="00AE17AD" w:rsidRDefault="009139A0" w:rsidP="009139A0">
      <w:pPr>
        <w:pStyle w:val="ListParagraph"/>
        <w:tabs>
          <w:tab w:val="left" w:pos="993"/>
        </w:tabs>
        <w:ind w:left="567"/>
        <w:jc w:val="both"/>
        <w:rPr>
          <w:sz w:val="21"/>
          <w:szCs w:val="21"/>
        </w:rPr>
      </w:pPr>
    </w:p>
    <w:bookmarkStart w:id="374" w:name="_MON_1409665547"/>
    <w:bookmarkEnd w:id="374"/>
    <w:p w:rsidR="00575624" w:rsidRDefault="0005204F" w:rsidP="00F35DE5">
      <w:pPr>
        <w:pStyle w:val="ListParagraph"/>
        <w:tabs>
          <w:tab w:val="left" w:pos="567"/>
        </w:tabs>
        <w:ind w:left="567"/>
        <w:jc w:val="both"/>
        <w:rPr>
          <w:sz w:val="21"/>
          <w:szCs w:val="21"/>
        </w:rPr>
      </w:pPr>
      <w:r w:rsidRPr="00575624">
        <w:rPr>
          <w:sz w:val="21"/>
          <w:szCs w:val="21"/>
        </w:rPr>
        <w:object w:dxaOrig="9155" w:dyaOrig="3650">
          <v:shape id="_x0000_i1033" type="#_x0000_t75" style="width:457.65pt;height:182.2pt" o:ole="">
            <v:imagedata r:id="rId27" o:title="" grayscale="t" bilevel="t"/>
          </v:shape>
          <o:OLEObject Type="Embed" ProgID="Excel.Sheet.12" ShapeID="_x0000_i1033" DrawAspect="Content" ObjectID="_1441724963" r:id="rId28"/>
        </w:object>
      </w:r>
    </w:p>
    <w:p w:rsidR="00AE17AD" w:rsidRPr="00575624" w:rsidRDefault="00AE17AD" w:rsidP="00F35DE5">
      <w:pPr>
        <w:pStyle w:val="ListParagraph"/>
        <w:tabs>
          <w:tab w:val="left" w:pos="567"/>
        </w:tabs>
        <w:ind w:left="567"/>
        <w:jc w:val="both"/>
        <w:rPr>
          <w:sz w:val="21"/>
          <w:szCs w:val="21"/>
        </w:rPr>
      </w:pPr>
    </w:p>
    <w:p w:rsidR="00543CF0" w:rsidRPr="00575624" w:rsidRDefault="00543CF0" w:rsidP="00C47924">
      <w:pPr>
        <w:numPr>
          <w:ilvl w:val="0"/>
          <w:numId w:val="3"/>
        </w:numPr>
        <w:tabs>
          <w:tab w:val="left" w:pos="567"/>
        </w:tabs>
        <w:ind w:left="567" w:hanging="567"/>
        <w:jc w:val="both"/>
        <w:rPr>
          <w:b/>
          <w:sz w:val="21"/>
          <w:szCs w:val="21"/>
        </w:rPr>
      </w:pPr>
      <w:r w:rsidRPr="00575624">
        <w:rPr>
          <w:b/>
          <w:sz w:val="21"/>
          <w:szCs w:val="21"/>
        </w:rPr>
        <w:lastRenderedPageBreak/>
        <w:t>Material Litigation</w:t>
      </w:r>
    </w:p>
    <w:p w:rsidR="00543CF0" w:rsidRPr="00575624" w:rsidRDefault="00543CF0" w:rsidP="00543CF0">
      <w:pPr>
        <w:tabs>
          <w:tab w:val="left" w:pos="567"/>
        </w:tabs>
        <w:ind w:left="567" w:hanging="567"/>
        <w:jc w:val="both"/>
        <w:rPr>
          <w:b/>
          <w:sz w:val="21"/>
          <w:szCs w:val="21"/>
        </w:rPr>
      </w:pPr>
    </w:p>
    <w:p w:rsidR="00543CF0" w:rsidRPr="00575624" w:rsidRDefault="00543CF0" w:rsidP="00543CF0">
      <w:pPr>
        <w:pStyle w:val="BodyTextIndent2"/>
        <w:tabs>
          <w:tab w:val="left" w:pos="567"/>
        </w:tabs>
        <w:ind w:left="567"/>
        <w:rPr>
          <w:sz w:val="21"/>
          <w:szCs w:val="21"/>
        </w:rPr>
      </w:pPr>
      <w:r w:rsidRPr="00575624">
        <w:rPr>
          <w:sz w:val="21"/>
          <w:szCs w:val="21"/>
        </w:rPr>
        <w:t>As at 3</w:t>
      </w:r>
      <w:r w:rsidR="00BA3F35" w:rsidRPr="00575624">
        <w:rPr>
          <w:sz w:val="21"/>
          <w:szCs w:val="21"/>
        </w:rPr>
        <w:t>1</w:t>
      </w:r>
      <w:r w:rsidR="007C07C3" w:rsidRPr="00575624">
        <w:rPr>
          <w:sz w:val="21"/>
          <w:szCs w:val="21"/>
        </w:rPr>
        <w:t xml:space="preserve"> </w:t>
      </w:r>
      <w:r w:rsidR="00BA3F35" w:rsidRPr="00575624">
        <w:rPr>
          <w:sz w:val="21"/>
          <w:szCs w:val="21"/>
        </w:rPr>
        <w:t>July</w:t>
      </w:r>
      <w:r w:rsidRPr="00575624">
        <w:rPr>
          <w:sz w:val="21"/>
          <w:szCs w:val="21"/>
        </w:rPr>
        <w:t xml:space="preserve"> 201</w:t>
      </w:r>
      <w:r w:rsidR="00F4594D" w:rsidRPr="00575624">
        <w:rPr>
          <w:sz w:val="21"/>
          <w:szCs w:val="21"/>
        </w:rPr>
        <w:t>3</w:t>
      </w:r>
      <w:r w:rsidRPr="00575624">
        <w:rPr>
          <w:sz w:val="21"/>
          <w:szCs w:val="21"/>
        </w:rPr>
        <w:t>, there was no material litigation against the Group.</w:t>
      </w:r>
    </w:p>
    <w:p w:rsidR="000A51F0" w:rsidRPr="00575624" w:rsidRDefault="000A51F0" w:rsidP="00DB667A">
      <w:pPr>
        <w:pStyle w:val="BodyTextIndent2"/>
        <w:tabs>
          <w:tab w:val="left" w:pos="567"/>
        </w:tabs>
        <w:ind w:left="567" w:hanging="567"/>
        <w:rPr>
          <w:sz w:val="21"/>
          <w:szCs w:val="21"/>
        </w:rPr>
      </w:pPr>
    </w:p>
    <w:p w:rsidR="00543CF0" w:rsidRPr="00575624" w:rsidRDefault="00543CF0" w:rsidP="00C47924">
      <w:pPr>
        <w:pStyle w:val="BodyTextIndent"/>
        <w:numPr>
          <w:ilvl w:val="0"/>
          <w:numId w:val="3"/>
        </w:numPr>
        <w:tabs>
          <w:tab w:val="clear" w:pos="360"/>
          <w:tab w:val="left" w:pos="567"/>
        </w:tabs>
        <w:ind w:hanging="720"/>
        <w:jc w:val="both"/>
        <w:rPr>
          <w:b/>
          <w:sz w:val="21"/>
          <w:szCs w:val="21"/>
        </w:rPr>
      </w:pPr>
      <w:r w:rsidRPr="00575624">
        <w:rPr>
          <w:b/>
          <w:sz w:val="21"/>
          <w:szCs w:val="21"/>
        </w:rPr>
        <w:t>Dividend Payable</w:t>
      </w:r>
    </w:p>
    <w:p w:rsidR="00543CF0" w:rsidRPr="00575624" w:rsidRDefault="00543CF0" w:rsidP="00543CF0">
      <w:pPr>
        <w:pStyle w:val="BodyTextIndent"/>
        <w:tabs>
          <w:tab w:val="clear" w:pos="360"/>
          <w:tab w:val="left" w:pos="567"/>
        </w:tabs>
        <w:ind w:left="567" w:hanging="567"/>
        <w:jc w:val="both"/>
        <w:rPr>
          <w:sz w:val="21"/>
          <w:szCs w:val="21"/>
        </w:rPr>
      </w:pPr>
      <w:r w:rsidRPr="00575624">
        <w:rPr>
          <w:sz w:val="21"/>
          <w:szCs w:val="21"/>
        </w:rPr>
        <w:tab/>
      </w:r>
    </w:p>
    <w:p w:rsidR="00C14BAE" w:rsidRPr="00575624" w:rsidRDefault="00543CF0" w:rsidP="00543CF0">
      <w:pPr>
        <w:pStyle w:val="BodyTextIndent"/>
        <w:tabs>
          <w:tab w:val="clear" w:pos="360"/>
          <w:tab w:val="left" w:pos="567"/>
        </w:tabs>
        <w:ind w:left="567"/>
        <w:jc w:val="both"/>
        <w:rPr>
          <w:sz w:val="21"/>
          <w:szCs w:val="21"/>
        </w:rPr>
      </w:pPr>
      <w:r w:rsidRPr="00575624">
        <w:rPr>
          <w:sz w:val="21"/>
          <w:szCs w:val="21"/>
        </w:rPr>
        <w:t xml:space="preserve">No interim dividend has been declared for the </w:t>
      </w:r>
      <w:r w:rsidR="00B5179E" w:rsidRPr="00575624">
        <w:rPr>
          <w:sz w:val="21"/>
          <w:szCs w:val="21"/>
        </w:rPr>
        <w:t xml:space="preserve">current quarter </w:t>
      </w:r>
      <w:r w:rsidR="006C4481" w:rsidRPr="00575624">
        <w:rPr>
          <w:sz w:val="21"/>
          <w:szCs w:val="21"/>
        </w:rPr>
        <w:t>under review</w:t>
      </w:r>
      <w:r w:rsidR="005609D9" w:rsidRPr="00575624">
        <w:rPr>
          <w:sz w:val="21"/>
          <w:szCs w:val="21"/>
        </w:rPr>
        <w:t>.</w:t>
      </w:r>
    </w:p>
    <w:p w:rsidR="00C94067" w:rsidRPr="00575624" w:rsidRDefault="00C94067" w:rsidP="00543CF0">
      <w:pPr>
        <w:pStyle w:val="BodyTextIndent"/>
        <w:tabs>
          <w:tab w:val="clear" w:pos="360"/>
          <w:tab w:val="left" w:pos="567"/>
        </w:tabs>
        <w:ind w:left="567"/>
        <w:jc w:val="both"/>
        <w:rPr>
          <w:sz w:val="21"/>
          <w:szCs w:val="21"/>
        </w:rPr>
      </w:pPr>
    </w:p>
    <w:p w:rsidR="0063672B" w:rsidRPr="00575624" w:rsidRDefault="00C14BAE" w:rsidP="00C47924">
      <w:pPr>
        <w:pStyle w:val="BodyTextIndent"/>
        <w:numPr>
          <w:ilvl w:val="0"/>
          <w:numId w:val="3"/>
        </w:numPr>
        <w:tabs>
          <w:tab w:val="clear" w:pos="360"/>
          <w:tab w:val="left" w:pos="567"/>
        </w:tabs>
        <w:ind w:hanging="720"/>
        <w:jc w:val="both"/>
        <w:rPr>
          <w:b/>
          <w:sz w:val="21"/>
          <w:szCs w:val="21"/>
        </w:rPr>
      </w:pPr>
      <w:r w:rsidRPr="00575624">
        <w:rPr>
          <w:b/>
          <w:sz w:val="21"/>
          <w:szCs w:val="21"/>
        </w:rPr>
        <w:t>Derivatives</w:t>
      </w:r>
    </w:p>
    <w:p w:rsidR="00D9706C" w:rsidRPr="00575624" w:rsidRDefault="00D9706C" w:rsidP="00D9706C">
      <w:pPr>
        <w:pStyle w:val="BodyTextIndent"/>
        <w:tabs>
          <w:tab w:val="clear" w:pos="360"/>
          <w:tab w:val="left" w:pos="567"/>
        </w:tabs>
        <w:ind w:left="720"/>
        <w:jc w:val="both"/>
        <w:rPr>
          <w:b/>
          <w:sz w:val="21"/>
          <w:szCs w:val="21"/>
        </w:rPr>
      </w:pPr>
    </w:p>
    <w:p w:rsidR="00EA56C5" w:rsidRPr="00575624" w:rsidRDefault="00EA56C5" w:rsidP="00EA56C5">
      <w:pPr>
        <w:pStyle w:val="BodyTextIndent"/>
        <w:numPr>
          <w:ilvl w:val="0"/>
          <w:numId w:val="13"/>
        </w:numPr>
        <w:tabs>
          <w:tab w:val="clear" w:pos="360"/>
          <w:tab w:val="left" w:pos="567"/>
        </w:tabs>
        <w:ind w:left="993" w:hanging="426"/>
        <w:jc w:val="both"/>
        <w:rPr>
          <w:b/>
          <w:sz w:val="21"/>
          <w:szCs w:val="21"/>
        </w:rPr>
      </w:pPr>
      <w:r w:rsidRPr="00575624">
        <w:rPr>
          <w:b/>
          <w:sz w:val="21"/>
          <w:szCs w:val="21"/>
        </w:rPr>
        <w:t>Disclosure of Derivatives</w:t>
      </w:r>
    </w:p>
    <w:p w:rsidR="00EA56C5" w:rsidRPr="00575624" w:rsidRDefault="00EA56C5" w:rsidP="00EA56C5">
      <w:pPr>
        <w:pStyle w:val="BodyTextIndent"/>
        <w:tabs>
          <w:tab w:val="clear" w:pos="360"/>
          <w:tab w:val="left" w:pos="567"/>
        </w:tabs>
        <w:ind w:left="1287"/>
        <w:jc w:val="both"/>
        <w:rPr>
          <w:sz w:val="21"/>
          <w:szCs w:val="21"/>
        </w:rPr>
      </w:pPr>
    </w:p>
    <w:p w:rsidR="00EA56C5" w:rsidRPr="00575624" w:rsidRDefault="00EA56C5" w:rsidP="00EA56C5">
      <w:pPr>
        <w:pStyle w:val="BodyTextIndent"/>
        <w:tabs>
          <w:tab w:val="clear" w:pos="360"/>
          <w:tab w:val="left" w:pos="567"/>
        </w:tabs>
        <w:ind w:left="567"/>
        <w:jc w:val="both"/>
        <w:rPr>
          <w:sz w:val="21"/>
          <w:szCs w:val="21"/>
        </w:rPr>
      </w:pPr>
      <w:r w:rsidRPr="00575624">
        <w:rPr>
          <w:sz w:val="21"/>
          <w:szCs w:val="21"/>
        </w:rPr>
        <w:t>Details of derivative financial instruments outstanding as at 31 July 2013 are as follow:-</w:t>
      </w:r>
    </w:p>
    <w:p w:rsidR="00EA56C5" w:rsidRPr="00575624" w:rsidRDefault="00EA56C5" w:rsidP="00EA56C5">
      <w:pPr>
        <w:pStyle w:val="BodyTextIndent"/>
        <w:tabs>
          <w:tab w:val="clear" w:pos="360"/>
          <w:tab w:val="left" w:pos="567"/>
        </w:tabs>
        <w:ind w:left="709"/>
        <w:jc w:val="both"/>
        <w:rPr>
          <w:sz w:val="21"/>
          <w:szCs w:val="21"/>
        </w:rPr>
      </w:pPr>
    </w:p>
    <w:bookmarkStart w:id="375" w:name="_MON_1441469946"/>
    <w:bookmarkEnd w:id="375"/>
    <w:p w:rsidR="00EA56C5" w:rsidRPr="00575624" w:rsidRDefault="00190D1B" w:rsidP="00C94067">
      <w:pPr>
        <w:pStyle w:val="BodyTextIndent"/>
        <w:tabs>
          <w:tab w:val="clear" w:pos="360"/>
          <w:tab w:val="left" w:pos="567"/>
        </w:tabs>
        <w:ind w:left="567" w:right="-23"/>
        <w:jc w:val="both"/>
        <w:rPr>
          <w:sz w:val="21"/>
          <w:szCs w:val="21"/>
        </w:rPr>
      </w:pPr>
      <w:r w:rsidRPr="00575624">
        <w:rPr>
          <w:sz w:val="21"/>
          <w:szCs w:val="21"/>
        </w:rPr>
        <w:object w:dxaOrig="9203" w:dyaOrig="2626">
          <v:shape id="_x0000_i1034" type="#_x0000_t75" style="width:459.25pt;height:130.9pt" o:ole="">
            <v:imagedata r:id="rId29" o:title="" grayscale="t" bilevel="t"/>
          </v:shape>
          <o:OLEObject Type="Embed" ProgID="Excel.Sheet.12" ShapeID="_x0000_i1034" DrawAspect="Content" ObjectID="_1441724964" r:id="rId30"/>
        </w:object>
      </w:r>
      <w:r w:rsidR="00EA56C5" w:rsidRPr="00575624">
        <w:rPr>
          <w:b/>
          <w:sz w:val="21"/>
          <w:szCs w:val="21"/>
          <w:u w:val="single"/>
          <w:lang w:val="en-MY" w:eastAsia="en-MY"/>
        </w:rPr>
        <w:t>Interest rate swaps</w:t>
      </w:r>
    </w:p>
    <w:p w:rsidR="00EA56C5" w:rsidRPr="00575624" w:rsidRDefault="00EA56C5" w:rsidP="00EA56C5">
      <w:pPr>
        <w:autoSpaceDE w:val="0"/>
        <w:autoSpaceDN w:val="0"/>
        <w:adjustRightInd w:val="0"/>
        <w:ind w:left="567"/>
        <w:jc w:val="both"/>
        <w:rPr>
          <w:b/>
          <w:sz w:val="21"/>
          <w:szCs w:val="21"/>
          <w:lang w:val="en-MY" w:eastAsia="en-MY"/>
        </w:rPr>
      </w:pPr>
    </w:p>
    <w:p w:rsidR="00C63FCB" w:rsidRPr="00575624" w:rsidRDefault="00C63FCB" w:rsidP="00C63FCB">
      <w:pPr>
        <w:autoSpaceDE w:val="0"/>
        <w:autoSpaceDN w:val="0"/>
        <w:adjustRightInd w:val="0"/>
        <w:ind w:left="567"/>
        <w:jc w:val="both"/>
        <w:rPr>
          <w:sz w:val="21"/>
          <w:szCs w:val="21"/>
        </w:rPr>
      </w:pPr>
      <w:r w:rsidRPr="00575624">
        <w:rPr>
          <w:sz w:val="21"/>
          <w:szCs w:val="21"/>
        </w:rPr>
        <w:t>The Group has entered into an interest rate swap contract that receives floating interest at SIBOR + 2.75% p.a. and pays fixed interest at 3.40% p.a. to mitigate the Group’s exposure from fluctuations in interest rate arising from a floating rate term loan. The interest rate swap has a similar maturity terms as the term loan.</w:t>
      </w:r>
    </w:p>
    <w:p w:rsidR="00C63FCB" w:rsidRPr="00575624" w:rsidRDefault="00C63FCB" w:rsidP="00C63FCB">
      <w:pPr>
        <w:autoSpaceDE w:val="0"/>
        <w:autoSpaceDN w:val="0"/>
        <w:adjustRightInd w:val="0"/>
        <w:ind w:left="567"/>
        <w:jc w:val="both"/>
        <w:rPr>
          <w:sz w:val="21"/>
          <w:szCs w:val="21"/>
        </w:rPr>
      </w:pPr>
    </w:p>
    <w:p w:rsidR="00C63FCB" w:rsidRPr="00575624" w:rsidRDefault="00C63FCB" w:rsidP="00C63FCB">
      <w:pPr>
        <w:autoSpaceDE w:val="0"/>
        <w:autoSpaceDN w:val="0"/>
        <w:adjustRightInd w:val="0"/>
        <w:ind w:left="567"/>
        <w:jc w:val="both"/>
        <w:rPr>
          <w:sz w:val="21"/>
          <w:szCs w:val="21"/>
        </w:rPr>
      </w:pPr>
      <w:r w:rsidRPr="00575624">
        <w:rPr>
          <w:sz w:val="21"/>
          <w:szCs w:val="21"/>
        </w:rPr>
        <w:t>The interest rate swap has be</w:t>
      </w:r>
      <w:r w:rsidR="00EA5FAC" w:rsidRPr="00575624">
        <w:rPr>
          <w:sz w:val="21"/>
          <w:szCs w:val="21"/>
        </w:rPr>
        <w:t xml:space="preserve">en classified as At Fair Value </w:t>
      </w:r>
      <w:proofErr w:type="gramStart"/>
      <w:r w:rsidR="00EA5FAC" w:rsidRPr="00575624">
        <w:rPr>
          <w:sz w:val="21"/>
          <w:szCs w:val="21"/>
        </w:rPr>
        <w:t>T</w:t>
      </w:r>
      <w:r w:rsidRPr="00575624">
        <w:rPr>
          <w:sz w:val="21"/>
          <w:szCs w:val="21"/>
        </w:rPr>
        <w:t>hrough</w:t>
      </w:r>
      <w:proofErr w:type="gramEnd"/>
      <w:r w:rsidRPr="00575624">
        <w:rPr>
          <w:sz w:val="21"/>
          <w:szCs w:val="21"/>
        </w:rPr>
        <w:t xml:space="preserve"> Profit or Loss which is measured at fair value and the changes in fair value will be taken to profit or loss.</w:t>
      </w:r>
    </w:p>
    <w:p w:rsidR="00EA5FAC" w:rsidRPr="00575624" w:rsidRDefault="00EA5FAC" w:rsidP="00EA56C5">
      <w:pPr>
        <w:autoSpaceDE w:val="0"/>
        <w:autoSpaceDN w:val="0"/>
        <w:adjustRightInd w:val="0"/>
        <w:ind w:left="567"/>
        <w:jc w:val="both"/>
        <w:rPr>
          <w:b/>
          <w:sz w:val="21"/>
          <w:szCs w:val="21"/>
          <w:lang w:val="en-MY" w:eastAsia="en-MY"/>
        </w:rPr>
      </w:pPr>
    </w:p>
    <w:p w:rsidR="00EA56C5" w:rsidRPr="00575624" w:rsidRDefault="00EA56C5" w:rsidP="00EA56C5">
      <w:pPr>
        <w:autoSpaceDE w:val="0"/>
        <w:autoSpaceDN w:val="0"/>
        <w:adjustRightInd w:val="0"/>
        <w:ind w:left="567"/>
        <w:jc w:val="both"/>
        <w:rPr>
          <w:b/>
          <w:sz w:val="21"/>
          <w:szCs w:val="21"/>
          <w:u w:val="single"/>
          <w:lang w:val="en-MY" w:eastAsia="en-MY"/>
        </w:rPr>
      </w:pPr>
      <w:r w:rsidRPr="00575624">
        <w:rPr>
          <w:b/>
          <w:sz w:val="21"/>
          <w:szCs w:val="21"/>
          <w:u w:val="single"/>
          <w:lang w:val="en-MY" w:eastAsia="en-MY"/>
        </w:rPr>
        <w:t>Forward foreign currency exchange contracts</w:t>
      </w:r>
    </w:p>
    <w:p w:rsidR="00EA56C5" w:rsidRPr="00575624" w:rsidRDefault="00EA56C5" w:rsidP="00EA56C5">
      <w:pPr>
        <w:autoSpaceDE w:val="0"/>
        <w:autoSpaceDN w:val="0"/>
        <w:adjustRightInd w:val="0"/>
        <w:ind w:left="567"/>
        <w:jc w:val="both"/>
        <w:rPr>
          <w:b/>
          <w:sz w:val="21"/>
          <w:szCs w:val="21"/>
          <w:u w:val="single"/>
          <w:lang w:val="en-MY" w:eastAsia="en-MY"/>
        </w:rPr>
      </w:pPr>
    </w:p>
    <w:p w:rsidR="00C63FCB" w:rsidRPr="00575624" w:rsidRDefault="00C63FCB" w:rsidP="00C63FCB">
      <w:pPr>
        <w:autoSpaceDE w:val="0"/>
        <w:autoSpaceDN w:val="0"/>
        <w:adjustRightInd w:val="0"/>
        <w:ind w:left="567"/>
        <w:jc w:val="both"/>
        <w:rPr>
          <w:sz w:val="21"/>
          <w:szCs w:val="21"/>
          <w:lang w:val="en-MY" w:eastAsia="en-MY"/>
        </w:rPr>
      </w:pPr>
      <w:r w:rsidRPr="00575624">
        <w:rPr>
          <w:sz w:val="21"/>
          <w:szCs w:val="21"/>
          <w:lang w:val="en-MY" w:eastAsia="en-MY"/>
        </w:rPr>
        <w:t>The Group has entered into a few forward foreign currency exchange contracts to mitigate the Group’s potential exposure from fluctuations in foreign exchange rate of NOK against USD arising</w:t>
      </w:r>
      <w:r w:rsidR="00C42FD9">
        <w:rPr>
          <w:sz w:val="21"/>
          <w:szCs w:val="21"/>
          <w:lang w:val="en-MY" w:eastAsia="en-MY"/>
        </w:rPr>
        <w:t xml:space="preserve"> from</w:t>
      </w:r>
      <w:r w:rsidRPr="00575624">
        <w:rPr>
          <w:sz w:val="21"/>
          <w:szCs w:val="21"/>
          <w:lang w:val="en-MY" w:eastAsia="en-MY"/>
        </w:rPr>
        <w:t xml:space="preserve"> a firm commitment in acquiring all ordinary shares of FOP as disclosed in Note 18. The forward foreign currency exchange contracts have maturities range from six to twelve months.</w:t>
      </w:r>
    </w:p>
    <w:p w:rsidR="00C63FCB" w:rsidRPr="00575624" w:rsidRDefault="00C63FCB" w:rsidP="00C63FCB">
      <w:pPr>
        <w:autoSpaceDE w:val="0"/>
        <w:autoSpaceDN w:val="0"/>
        <w:adjustRightInd w:val="0"/>
        <w:ind w:left="567"/>
        <w:jc w:val="both"/>
        <w:rPr>
          <w:sz w:val="21"/>
          <w:szCs w:val="21"/>
          <w:lang w:val="en-MY" w:eastAsia="en-MY"/>
        </w:rPr>
      </w:pPr>
    </w:p>
    <w:p w:rsidR="00C63FCB" w:rsidRPr="00575624" w:rsidRDefault="00C63FCB" w:rsidP="00C63FCB">
      <w:pPr>
        <w:autoSpaceDE w:val="0"/>
        <w:autoSpaceDN w:val="0"/>
        <w:adjustRightInd w:val="0"/>
        <w:ind w:left="567"/>
        <w:jc w:val="both"/>
        <w:rPr>
          <w:sz w:val="21"/>
          <w:szCs w:val="21"/>
          <w:lang w:val="en-MY" w:eastAsia="en-MY"/>
        </w:rPr>
      </w:pPr>
      <w:r w:rsidRPr="00575624">
        <w:rPr>
          <w:sz w:val="21"/>
          <w:szCs w:val="21"/>
          <w:lang w:val="en-MY" w:eastAsia="en-MY"/>
        </w:rPr>
        <w:t>The forward foreign currency exchange contracts are measured at fair value and the gains or losses arising from the change in fair value of these contracts will be taken to profit or loss.</w:t>
      </w:r>
    </w:p>
    <w:p w:rsidR="00EA56C5" w:rsidRPr="00575624" w:rsidRDefault="00EA56C5" w:rsidP="00EA56C5">
      <w:pPr>
        <w:pStyle w:val="BodyTextIndent"/>
        <w:tabs>
          <w:tab w:val="clear" w:pos="360"/>
          <w:tab w:val="left" w:pos="567"/>
        </w:tabs>
        <w:ind w:left="993"/>
        <w:jc w:val="both"/>
        <w:rPr>
          <w:b/>
          <w:sz w:val="21"/>
          <w:szCs w:val="21"/>
        </w:rPr>
      </w:pPr>
    </w:p>
    <w:p w:rsidR="00EA56C5" w:rsidRPr="00575624" w:rsidRDefault="00EA56C5" w:rsidP="00EA56C5">
      <w:pPr>
        <w:pStyle w:val="BodyTextIndent"/>
        <w:numPr>
          <w:ilvl w:val="0"/>
          <w:numId w:val="13"/>
        </w:numPr>
        <w:tabs>
          <w:tab w:val="clear" w:pos="360"/>
          <w:tab w:val="left" w:pos="567"/>
        </w:tabs>
        <w:ind w:left="993"/>
        <w:jc w:val="both"/>
        <w:rPr>
          <w:b/>
          <w:sz w:val="21"/>
          <w:szCs w:val="21"/>
        </w:rPr>
      </w:pPr>
      <w:r w:rsidRPr="00575624">
        <w:rPr>
          <w:b/>
          <w:sz w:val="21"/>
          <w:szCs w:val="21"/>
        </w:rPr>
        <w:t xml:space="preserve">Gains/Losses Arising From Fair Value Changes in </w:t>
      </w:r>
      <w:r w:rsidR="00F42FC3" w:rsidRPr="00575624">
        <w:rPr>
          <w:b/>
          <w:sz w:val="21"/>
          <w:szCs w:val="21"/>
        </w:rPr>
        <w:t>Derivatives</w:t>
      </w:r>
    </w:p>
    <w:p w:rsidR="00EA56C5" w:rsidRPr="00575624" w:rsidRDefault="00EA56C5" w:rsidP="00EA56C5">
      <w:pPr>
        <w:pStyle w:val="BodyTextIndent"/>
        <w:tabs>
          <w:tab w:val="clear" w:pos="360"/>
          <w:tab w:val="left" w:pos="567"/>
        </w:tabs>
        <w:ind w:left="567"/>
        <w:jc w:val="both"/>
        <w:rPr>
          <w:b/>
          <w:sz w:val="21"/>
          <w:szCs w:val="21"/>
        </w:rPr>
      </w:pPr>
    </w:p>
    <w:p w:rsidR="00EA56C5" w:rsidRPr="00575624" w:rsidRDefault="00EA56C5" w:rsidP="00EA56C5">
      <w:pPr>
        <w:pStyle w:val="BodyTextIndent"/>
        <w:tabs>
          <w:tab w:val="clear" w:pos="360"/>
          <w:tab w:val="left" w:pos="567"/>
        </w:tabs>
        <w:ind w:left="567"/>
        <w:jc w:val="both"/>
        <w:rPr>
          <w:sz w:val="21"/>
          <w:szCs w:val="21"/>
        </w:rPr>
      </w:pPr>
      <w:r w:rsidRPr="00575624">
        <w:rPr>
          <w:sz w:val="21"/>
          <w:szCs w:val="21"/>
        </w:rPr>
        <w:t>The net fair value gain on interest rate swap derivative measured at fair value through profit and loss for current period is RM0</w:t>
      </w:r>
      <w:r w:rsidR="00F42FC3" w:rsidRPr="00575624">
        <w:rPr>
          <w:sz w:val="21"/>
          <w:szCs w:val="21"/>
        </w:rPr>
        <w:t>.291 million</w:t>
      </w:r>
      <w:r w:rsidRPr="00575624">
        <w:rPr>
          <w:sz w:val="21"/>
          <w:szCs w:val="21"/>
        </w:rPr>
        <w:t>.</w:t>
      </w:r>
    </w:p>
    <w:p w:rsidR="00CE790E" w:rsidRPr="00575624" w:rsidRDefault="00CE790E" w:rsidP="00CE790E">
      <w:pPr>
        <w:autoSpaceDE w:val="0"/>
        <w:autoSpaceDN w:val="0"/>
        <w:adjustRightInd w:val="0"/>
        <w:ind w:left="567"/>
        <w:jc w:val="both"/>
        <w:rPr>
          <w:sz w:val="21"/>
          <w:szCs w:val="21"/>
          <w:lang w:val="en-MY" w:eastAsia="en-MY"/>
        </w:rPr>
      </w:pPr>
    </w:p>
    <w:p w:rsidR="00F42FC3" w:rsidRPr="00575624" w:rsidRDefault="00F42FC3" w:rsidP="00F42FC3">
      <w:pPr>
        <w:autoSpaceDE w:val="0"/>
        <w:autoSpaceDN w:val="0"/>
        <w:adjustRightInd w:val="0"/>
        <w:ind w:left="567"/>
        <w:jc w:val="both"/>
        <w:rPr>
          <w:sz w:val="21"/>
          <w:szCs w:val="21"/>
          <w:lang w:val="en-MY" w:eastAsia="en-MY"/>
        </w:rPr>
      </w:pPr>
      <w:r w:rsidRPr="00575624">
        <w:rPr>
          <w:sz w:val="21"/>
          <w:szCs w:val="21"/>
          <w:lang w:val="en-MY" w:eastAsia="en-MY"/>
        </w:rPr>
        <w:t xml:space="preserve">As at reporting date, the Group had applied fair value hedge accounting. The loss on change in fair value of the forward foreign currency exchange contracts amounted RM8.177 million recognised to the profit or loss has been offset by the gain on fair value change in the firm commitment. </w:t>
      </w:r>
    </w:p>
    <w:p w:rsidR="00ED432C" w:rsidRPr="00575624" w:rsidRDefault="00ED432C" w:rsidP="00ED432C">
      <w:pPr>
        <w:autoSpaceDE w:val="0"/>
        <w:autoSpaceDN w:val="0"/>
        <w:adjustRightInd w:val="0"/>
        <w:ind w:left="567"/>
        <w:jc w:val="both"/>
        <w:rPr>
          <w:sz w:val="21"/>
          <w:szCs w:val="21"/>
        </w:rPr>
      </w:pPr>
    </w:p>
    <w:p w:rsidR="00ED432C" w:rsidRDefault="00ED432C" w:rsidP="00ED432C">
      <w:pPr>
        <w:autoSpaceDE w:val="0"/>
        <w:autoSpaceDN w:val="0"/>
        <w:adjustRightInd w:val="0"/>
        <w:ind w:left="567"/>
        <w:jc w:val="both"/>
        <w:rPr>
          <w:sz w:val="21"/>
          <w:szCs w:val="21"/>
        </w:rPr>
      </w:pPr>
      <w:r w:rsidRPr="00575624">
        <w:rPr>
          <w:sz w:val="21"/>
          <w:szCs w:val="21"/>
        </w:rPr>
        <w:t>The fair values of the above derivatives were based on quotes obtained from the respective counterparty banks.</w:t>
      </w:r>
    </w:p>
    <w:p w:rsidR="00414EEF" w:rsidRPr="00575624" w:rsidRDefault="00414EEF" w:rsidP="00ED432C">
      <w:pPr>
        <w:autoSpaceDE w:val="0"/>
        <w:autoSpaceDN w:val="0"/>
        <w:adjustRightInd w:val="0"/>
        <w:ind w:left="567"/>
        <w:jc w:val="both"/>
        <w:rPr>
          <w:sz w:val="21"/>
          <w:szCs w:val="21"/>
          <w:lang w:val="en-MY" w:eastAsia="en-MY"/>
        </w:rPr>
      </w:pPr>
    </w:p>
    <w:p w:rsidR="00C94067" w:rsidRPr="00575624" w:rsidRDefault="00C94067" w:rsidP="00BE51CB">
      <w:pPr>
        <w:pStyle w:val="BodyTextIndent"/>
        <w:tabs>
          <w:tab w:val="clear" w:pos="360"/>
          <w:tab w:val="left" w:pos="567"/>
        </w:tabs>
        <w:ind w:left="567"/>
        <w:jc w:val="both"/>
        <w:rPr>
          <w:sz w:val="21"/>
          <w:szCs w:val="21"/>
        </w:rPr>
      </w:pPr>
    </w:p>
    <w:p w:rsidR="008C5E1E" w:rsidRPr="00575624" w:rsidRDefault="008C5E1E" w:rsidP="00C47924">
      <w:pPr>
        <w:pStyle w:val="BodyTextIndent2"/>
        <w:numPr>
          <w:ilvl w:val="0"/>
          <w:numId w:val="3"/>
        </w:numPr>
        <w:tabs>
          <w:tab w:val="left" w:pos="567"/>
        </w:tabs>
        <w:ind w:left="567" w:hanging="567"/>
        <w:rPr>
          <w:b/>
          <w:sz w:val="21"/>
          <w:szCs w:val="21"/>
        </w:rPr>
      </w:pPr>
      <w:r w:rsidRPr="00575624">
        <w:rPr>
          <w:b/>
          <w:sz w:val="21"/>
          <w:szCs w:val="21"/>
        </w:rPr>
        <w:lastRenderedPageBreak/>
        <w:t>Realised and Unrealised Retained Earnings</w:t>
      </w:r>
    </w:p>
    <w:p w:rsidR="008C5E1E" w:rsidRPr="00575624" w:rsidRDefault="008C5E1E" w:rsidP="00DB667A">
      <w:pPr>
        <w:tabs>
          <w:tab w:val="left" w:pos="567"/>
        </w:tabs>
        <w:autoSpaceDE w:val="0"/>
        <w:autoSpaceDN w:val="0"/>
        <w:adjustRightInd w:val="0"/>
        <w:ind w:left="567" w:hanging="567"/>
        <w:jc w:val="both"/>
        <w:rPr>
          <w:sz w:val="21"/>
          <w:szCs w:val="21"/>
          <w:lang w:eastAsia="zh-CN"/>
        </w:rPr>
      </w:pPr>
    </w:p>
    <w:p w:rsidR="008C5E1E" w:rsidRPr="00575624" w:rsidRDefault="008C5E1E" w:rsidP="00D9706C">
      <w:pPr>
        <w:tabs>
          <w:tab w:val="left" w:pos="567"/>
        </w:tabs>
        <w:autoSpaceDE w:val="0"/>
        <w:autoSpaceDN w:val="0"/>
        <w:adjustRightInd w:val="0"/>
        <w:ind w:left="567"/>
        <w:jc w:val="both"/>
        <w:rPr>
          <w:sz w:val="21"/>
          <w:szCs w:val="21"/>
          <w:lang w:eastAsia="zh-CN"/>
        </w:rPr>
      </w:pPr>
      <w:r w:rsidRPr="00575624">
        <w:rPr>
          <w:sz w:val="21"/>
          <w:szCs w:val="21"/>
          <w:lang w:eastAsia="zh-CN"/>
        </w:rPr>
        <w:t>The breakdown of the retained earnings of the Group as at 3</w:t>
      </w:r>
      <w:r w:rsidR="00B00216" w:rsidRPr="00575624">
        <w:rPr>
          <w:sz w:val="21"/>
          <w:szCs w:val="21"/>
          <w:lang w:eastAsia="zh-CN"/>
        </w:rPr>
        <w:t>1</w:t>
      </w:r>
      <w:r w:rsidR="00D37734" w:rsidRPr="00575624">
        <w:rPr>
          <w:sz w:val="21"/>
          <w:szCs w:val="21"/>
          <w:lang w:eastAsia="zh-CN"/>
        </w:rPr>
        <w:t xml:space="preserve"> </w:t>
      </w:r>
      <w:r w:rsidR="00B00216" w:rsidRPr="00575624">
        <w:rPr>
          <w:sz w:val="21"/>
          <w:szCs w:val="21"/>
          <w:lang w:eastAsia="zh-CN"/>
        </w:rPr>
        <w:t>July</w:t>
      </w:r>
      <w:r w:rsidRPr="00575624">
        <w:rPr>
          <w:sz w:val="21"/>
          <w:szCs w:val="21"/>
          <w:lang w:eastAsia="zh-CN"/>
        </w:rPr>
        <w:t xml:space="preserve"> 201</w:t>
      </w:r>
      <w:r w:rsidR="00D073E1" w:rsidRPr="00575624">
        <w:rPr>
          <w:sz w:val="21"/>
          <w:szCs w:val="21"/>
          <w:lang w:eastAsia="zh-CN"/>
        </w:rPr>
        <w:t>3</w:t>
      </w:r>
      <w:r w:rsidRPr="00575624">
        <w:rPr>
          <w:sz w:val="21"/>
          <w:szCs w:val="21"/>
          <w:lang w:eastAsia="zh-CN"/>
        </w:rPr>
        <w:t xml:space="preserve"> into realised and unrealised is presented in accordance with the directive issued by Bursa Malaysia Securities Berhad dated 25 March 2010</w:t>
      </w:r>
      <w:r w:rsidR="00C13426" w:rsidRPr="00575624">
        <w:rPr>
          <w:sz w:val="21"/>
          <w:szCs w:val="21"/>
          <w:lang w:eastAsia="zh-CN"/>
        </w:rPr>
        <w:t xml:space="preserve"> and 20 December 2010,</w:t>
      </w:r>
      <w:r w:rsidRPr="00575624">
        <w:rPr>
          <w:sz w:val="21"/>
          <w:szCs w:val="21"/>
          <w:lang w:eastAsia="zh-CN"/>
        </w:rPr>
        <w:t xml:space="preserve"> and prepared in accordance with </w:t>
      </w:r>
      <w:r w:rsidRPr="00575624">
        <w:rPr>
          <w:i/>
          <w:sz w:val="21"/>
          <w:szCs w:val="21"/>
          <w:lang w:eastAsia="zh-CN"/>
        </w:rPr>
        <w:t>Guidance on Special Matter No.1</w:t>
      </w:r>
      <w:r w:rsidRPr="00575624">
        <w:rPr>
          <w:sz w:val="21"/>
          <w:szCs w:val="21"/>
          <w:lang w:eastAsia="zh-CN"/>
        </w:rPr>
        <w:t xml:space="preserve">, </w:t>
      </w:r>
      <w:r w:rsidRPr="00575624">
        <w:rPr>
          <w:i/>
          <w:sz w:val="21"/>
          <w:szCs w:val="21"/>
          <w:lang w:eastAsia="zh-CN"/>
        </w:rPr>
        <w:t>Determination of Realised and Unrealised Profits or Losses</w:t>
      </w:r>
      <w:r w:rsidRPr="00575624">
        <w:rPr>
          <w:sz w:val="21"/>
          <w:szCs w:val="21"/>
          <w:lang w:eastAsia="zh-CN"/>
        </w:rPr>
        <w:t xml:space="preserve"> in the Context of Disclosure Pursuant to Bursa Malaysia Securities Berhad Listing Requirements, as issued by the Malaysian Institute of Accountants.</w:t>
      </w:r>
    </w:p>
    <w:p w:rsidR="00604EAE" w:rsidRPr="00575624" w:rsidRDefault="00604EAE" w:rsidP="00D9706C">
      <w:pPr>
        <w:tabs>
          <w:tab w:val="left" w:pos="567"/>
        </w:tabs>
        <w:autoSpaceDE w:val="0"/>
        <w:autoSpaceDN w:val="0"/>
        <w:adjustRightInd w:val="0"/>
        <w:ind w:left="567"/>
        <w:jc w:val="both"/>
        <w:rPr>
          <w:sz w:val="21"/>
          <w:szCs w:val="21"/>
          <w:lang w:eastAsia="zh-CN"/>
        </w:rPr>
      </w:pPr>
    </w:p>
    <w:bookmarkStart w:id="376" w:name="_MON_1369753313"/>
    <w:bookmarkStart w:id="377" w:name="_MON_1369753862"/>
    <w:bookmarkStart w:id="378" w:name="_MON_1369753935"/>
    <w:bookmarkStart w:id="379" w:name="_MON_1401355971"/>
    <w:bookmarkStart w:id="380" w:name="_MON_1401356200"/>
    <w:bookmarkStart w:id="381" w:name="_MON_1401356208"/>
    <w:bookmarkStart w:id="382" w:name="_MON_1401356302"/>
    <w:bookmarkStart w:id="383" w:name="_MON_1401356321"/>
    <w:bookmarkStart w:id="384" w:name="_MON_1401356328"/>
    <w:bookmarkStart w:id="385" w:name="_MON_1378109434"/>
    <w:bookmarkStart w:id="386" w:name="_MON_1378122155"/>
    <w:bookmarkStart w:id="387" w:name="_MON_1378190444"/>
    <w:bookmarkStart w:id="388" w:name="_MON_1380021407"/>
    <w:bookmarkStart w:id="389" w:name="_MON_1385455348"/>
    <w:bookmarkStart w:id="390" w:name="_MON_1401809349"/>
    <w:bookmarkStart w:id="391" w:name="_MON_1401809481"/>
    <w:bookmarkStart w:id="392" w:name="_MON_1401809531"/>
    <w:bookmarkStart w:id="393" w:name="_MON_1385546444"/>
    <w:bookmarkStart w:id="394" w:name="_MON_1385829377"/>
    <w:bookmarkStart w:id="395" w:name="_MON_1385829486"/>
    <w:bookmarkStart w:id="396" w:name="_MON_1385829541"/>
    <w:bookmarkStart w:id="397" w:name="_MON_1385829575"/>
    <w:bookmarkStart w:id="398" w:name="_MON_1385829585"/>
    <w:bookmarkStart w:id="399" w:name="_MON_1385829915"/>
    <w:bookmarkStart w:id="400" w:name="_MON_1385829930"/>
    <w:bookmarkStart w:id="401" w:name="_MON_1385829973"/>
    <w:bookmarkStart w:id="402" w:name="_MON_1385830008"/>
    <w:bookmarkStart w:id="403" w:name="_MON_1401954575"/>
    <w:bookmarkStart w:id="404" w:name="_MON_1385830601"/>
    <w:bookmarkStart w:id="405" w:name="_MON_1393740963"/>
    <w:bookmarkStart w:id="406" w:name="_MON_1393740979"/>
    <w:bookmarkStart w:id="407" w:name="_MON_1393740986"/>
    <w:bookmarkStart w:id="408" w:name="_MON_1393741127"/>
    <w:bookmarkStart w:id="409" w:name="_MON_1393741137"/>
    <w:bookmarkStart w:id="410" w:name="_MON_1393741273"/>
    <w:bookmarkStart w:id="411" w:name="_MON_1394093936"/>
    <w:bookmarkStart w:id="412" w:name="_MON_1394100236"/>
    <w:bookmarkStart w:id="413" w:name="_MON_1394289448"/>
    <w:bookmarkStart w:id="414" w:name="_MON_1394361158"/>
    <w:bookmarkStart w:id="415" w:name="_MON_1402400005"/>
    <w:bookmarkStart w:id="416" w:name="_MON_1394361174"/>
    <w:bookmarkStart w:id="417" w:name="_MON_1394361187"/>
    <w:bookmarkStart w:id="418" w:name="_MON_1394361341"/>
    <w:bookmarkStart w:id="419" w:name="_MON_1394361398"/>
    <w:bookmarkStart w:id="420" w:name="_MON_1355125594"/>
    <w:bookmarkStart w:id="421" w:name="_MON_1394381185"/>
    <w:bookmarkStart w:id="422" w:name="_MON_1394381219"/>
    <w:bookmarkStart w:id="423" w:name="_MON_1394381237"/>
    <w:bookmarkStart w:id="424" w:name="_MON_1362212912"/>
    <w:bookmarkStart w:id="425" w:name="_MON_1409568041"/>
    <w:bookmarkStart w:id="426" w:name="_MON_1409569228"/>
    <w:bookmarkStart w:id="427" w:name="_MON_1409569382"/>
    <w:bookmarkStart w:id="428" w:name="_MON_1362212992"/>
    <w:bookmarkStart w:id="429" w:name="_MON_1394433194"/>
    <w:bookmarkStart w:id="430" w:name="_MON_1394433205"/>
    <w:bookmarkStart w:id="431" w:name="_MON_1394433789"/>
    <w:bookmarkStart w:id="432" w:name="_MON_1362472542"/>
    <w:bookmarkStart w:id="433" w:name="_MON_1362513995"/>
    <w:bookmarkStart w:id="434" w:name="_MON_1362514013"/>
    <w:bookmarkStart w:id="435" w:name="_MON_1362514355"/>
    <w:bookmarkStart w:id="436" w:name="_MON_1394556059"/>
    <w:bookmarkStart w:id="437" w:name="_MON_1394556127"/>
    <w:bookmarkStart w:id="438" w:name="_MON_1394556150"/>
    <w:bookmarkStart w:id="439" w:name="_MON_1362514561"/>
    <w:bookmarkStart w:id="440" w:name="_MON_1362575654"/>
    <w:bookmarkStart w:id="441" w:name="_MON_1362646882"/>
    <w:bookmarkStart w:id="442" w:name="_MON_1362812036"/>
    <w:bookmarkStart w:id="443" w:name="_MON_1362901112"/>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Start w:id="444" w:name="_MON_1362901235"/>
    <w:bookmarkEnd w:id="444"/>
    <w:p w:rsidR="000975E8" w:rsidRPr="00575624" w:rsidRDefault="00F05679" w:rsidP="00D9706C">
      <w:pPr>
        <w:pStyle w:val="BodyTextIndent2"/>
        <w:tabs>
          <w:tab w:val="left" w:pos="567"/>
        </w:tabs>
        <w:ind w:left="567" w:hanging="567"/>
        <w:rPr>
          <w:sz w:val="21"/>
          <w:szCs w:val="21"/>
        </w:rPr>
      </w:pPr>
      <w:r w:rsidRPr="00575624">
        <w:rPr>
          <w:sz w:val="21"/>
          <w:szCs w:val="21"/>
        </w:rPr>
        <w:object w:dxaOrig="10560" w:dyaOrig="4523">
          <v:shape id="_x0000_i1035" type="#_x0000_t75" style="width:470.75pt;height:260.75pt" o:ole="">
            <v:imagedata r:id="rId31" o:title=""/>
          </v:shape>
          <o:OLEObject Type="Embed" ProgID="Excel.Sheet.8" ShapeID="_x0000_i1035" DrawAspect="Content" ObjectID="_1441724965" r:id="rId32"/>
        </w:object>
      </w:r>
    </w:p>
    <w:p w:rsidR="00DF5293" w:rsidRPr="00575624" w:rsidRDefault="00DF5293" w:rsidP="00C47924">
      <w:pPr>
        <w:pStyle w:val="BodyTextIndent"/>
        <w:numPr>
          <w:ilvl w:val="0"/>
          <w:numId w:val="3"/>
        </w:numPr>
        <w:tabs>
          <w:tab w:val="clear" w:pos="360"/>
          <w:tab w:val="left" w:pos="720"/>
        </w:tabs>
        <w:ind w:hanging="720"/>
        <w:jc w:val="both"/>
        <w:rPr>
          <w:b/>
          <w:sz w:val="21"/>
          <w:szCs w:val="21"/>
        </w:rPr>
      </w:pPr>
      <w:r w:rsidRPr="00575624">
        <w:rPr>
          <w:b/>
          <w:sz w:val="21"/>
          <w:szCs w:val="21"/>
        </w:rPr>
        <w:t>Auditors’ Report on Preceding Annual Financial Statements</w:t>
      </w:r>
    </w:p>
    <w:p w:rsidR="00DF5293" w:rsidRPr="00575624" w:rsidRDefault="00DF5293" w:rsidP="00DF5293">
      <w:pPr>
        <w:pStyle w:val="BodyTextIndent"/>
        <w:tabs>
          <w:tab w:val="left" w:pos="567"/>
        </w:tabs>
        <w:ind w:left="567" w:hanging="567"/>
        <w:jc w:val="both"/>
        <w:rPr>
          <w:sz w:val="21"/>
          <w:szCs w:val="21"/>
        </w:rPr>
      </w:pPr>
    </w:p>
    <w:p w:rsidR="00AB38ED" w:rsidRPr="00575624" w:rsidRDefault="00DF5293" w:rsidP="00681B88">
      <w:pPr>
        <w:pStyle w:val="BodyTextIndent"/>
        <w:tabs>
          <w:tab w:val="clear" w:pos="360"/>
          <w:tab w:val="left" w:pos="709"/>
        </w:tabs>
        <w:ind w:left="720"/>
        <w:jc w:val="both"/>
        <w:rPr>
          <w:sz w:val="21"/>
          <w:szCs w:val="21"/>
        </w:rPr>
      </w:pPr>
      <w:r w:rsidRPr="00575624">
        <w:rPr>
          <w:sz w:val="21"/>
          <w:szCs w:val="21"/>
        </w:rPr>
        <w:t>The Auditors’ Report on the financial statements for the year ended 31</w:t>
      </w:r>
      <w:r w:rsidR="002A7C5B" w:rsidRPr="00575624">
        <w:rPr>
          <w:sz w:val="21"/>
          <w:szCs w:val="21"/>
        </w:rPr>
        <w:t xml:space="preserve"> </w:t>
      </w:r>
      <w:r w:rsidRPr="00575624">
        <w:rPr>
          <w:sz w:val="21"/>
          <w:szCs w:val="21"/>
        </w:rPr>
        <w:t>January 201</w:t>
      </w:r>
      <w:r w:rsidR="002A7C5B" w:rsidRPr="00575624">
        <w:rPr>
          <w:sz w:val="21"/>
          <w:szCs w:val="21"/>
        </w:rPr>
        <w:t>3</w:t>
      </w:r>
      <w:r w:rsidRPr="00575624">
        <w:rPr>
          <w:sz w:val="21"/>
          <w:szCs w:val="21"/>
        </w:rPr>
        <w:t xml:space="preserve"> was not qualified.</w:t>
      </w:r>
    </w:p>
    <w:p w:rsidR="000975E8" w:rsidRPr="00575624" w:rsidRDefault="000975E8" w:rsidP="00681B88">
      <w:pPr>
        <w:pStyle w:val="BodyTextIndent"/>
        <w:tabs>
          <w:tab w:val="clear" w:pos="360"/>
          <w:tab w:val="left" w:pos="709"/>
        </w:tabs>
        <w:ind w:left="720"/>
        <w:jc w:val="both"/>
        <w:rPr>
          <w:sz w:val="21"/>
          <w:szCs w:val="21"/>
        </w:rPr>
      </w:pPr>
    </w:p>
    <w:p w:rsidR="00A0475A" w:rsidRPr="00575624" w:rsidRDefault="00A0475A" w:rsidP="00C47924">
      <w:pPr>
        <w:pStyle w:val="BodyTextIndent"/>
        <w:numPr>
          <w:ilvl w:val="0"/>
          <w:numId w:val="3"/>
        </w:numPr>
        <w:tabs>
          <w:tab w:val="clear" w:pos="360"/>
          <w:tab w:val="left" w:pos="720"/>
        </w:tabs>
        <w:ind w:hanging="720"/>
        <w:jc w:val="both"/>
        <w:rPr>
          <w:b/>
          <w:sz w:val="21"/>
          <w:szCs w:val="21"/>
        </w:rPr>
      </w:pPr>
      <w:r w:rsidRPr="00575624">
        <w:rPr>
          <w:b/>
          <w:sz w:val="21"/>
          <w:szCs w:val="21"/>
        </w:rPr>
        <w:t>Authorised For Issue</w:t>
      </w:r>
    </w:p>
    <w:p w:rsidR="0098064F" w:rsidRPr="00575624" w:rsidRDefault="0098064F" w:rsidP="0098064F">
      <w:pPr>
        <w:pStyle w:val="BodyTextIndent"/>
        <w:tabs>
          <w:tab w:val="clear" w:pos="360"/>
          <w:tab w:val="left" w:pos="720"/>
        </w:tabs>
        <w:ind w:left="720"/>
        <w:jc w:val="both"/>
        <w:rPr>
          <w:b/>
          <w:sz w:val="21"/>
          <w:szCs w:val="21"/>
        </w:rPr>
      </w:pPr>
    </w:p>
    <w:p w:rsidR="0098064F" w:rsidRPr="00575624" w:rsidRDefault="0098064F" w:rsidP="0098064F">
      <w:pPr>
        <w:pStyle w:val="BodyTextIndent"/>
        <w:tabs>
          <w:tab w:val="clear" w:pos="360"/>
          <w:tab w:val="left" w:pos="720"/>
        </w:tabs>
        <w:ind w:left="720"/>
        <w:jc w:val="both"/>
        <w:rPr>
          <w:sz w:val="21"/>
          <w:szCs w:val="21"/>
        </w:rPr>
      </w:pPr>
      <w:r w:rsidRPr="00575624">
        <w:rPr>
          <w:sz w:val="21"/>
          <w:szCs w:val="21"/>
        </w:rPr>
        <w:t>The condensed consolidated interim financial statements were authorised for issue by the Board of Directors in accordance with a resolution of the Directors on 2</w:t>
      </w:r>
      <w:r w:rsidR="006157EE" w:rsidRPr="00575624">
        <w:rPr>
          <w:sz w:val="21"/>
          <w:szCs w:val="21"/>
        </w:rPr>
        <w:t>6</w:t>
      </w:r>
      <w:r w:rsidR="00F4594D" w:rsidRPr="00575624">
        <w:rPr>
          <w:sz w:val="21"/>
          <w:szCs w:val="21"/>
        </w:rPr>
        <w:t xml:space="preserve"> </w:t>
      </w:r>
      <w:r w:rsidR="004D484C" w:rsidRPr="00575624">
        <w:rPr>
          <w:sz w:val="21"/>
          <w:szCs w:val="21"/>
        </w:rPr>
        <w:t>September</w:t>
      </w:r>
      <w:r w:rsidRPr="00575624">
        <w:rPr>
          <w:sz w:val="21"/>
          <w:szCs w:val="21"/>
        </w:rPr>
        <w:t xml:space="preserve"> 201</w:t>
      </w:r>
      <w:r w:rsidR="00F4594D" w:rsidRPr="00575624">
        <w:rPr>
          <w:sz w:val="21"/>
          <w:szCs w:val="21"/>
        </w:rPr>
        <w:t>3.</w:t>
      </w:r>
    </w:p>
    <w:p w:rsidR="00544BE8" w:rsidRPr="00575624" w:rsidRDefault="00544BE8" w:rsidP="0098064F">
      <w:pPr>
        <w:pStyle w:val="BodyTextIndent"/>
        <w:tabs>
          <w:tab w:val="clear" w:pos="360"/>
          <w:tab w:val="left" w:pos="720"/>
        </w:tabs>
        <w:ind w:left="720"/>
        <w:jc w:val="both"/>
        <w:rPr>
          <w:sz w:val="21"/>
          <w:szCs w:val="21"/>
        </w:rPr>
      </w:pPr>
    </w:p>
    <w:sectPr w:rsidR="00544BE8" w:rsidRPr="00575624" w:rsidSect="00575624">
      <w:footerReference w:type="even" r:id="rId33"/>
      <w:footerReference w:type="default" r:id="rId34"/>
      <w:type w:val="evenPage"/>
      <w:pgSz w:w="11909" w:h="16834" w:code="9"/>
      <w:pgMar w:top="1440" w:right="1080" w:bottom="1440" w:left="1080" w:header="720" w:footer="720" w:gutter="0"/>
      <w:pgNumType w:start="8"/>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146" w:rsidRDefault="00DE5146">
      <w:r>
        <w:separator/>
      </w:r>
    </w:p>
  </w:endnote>
  <w:endnote w:type="continuationSeparator" w:id="0">
    <w:p w:rsidR="00DE5146" w:rsidRDefault="00DE5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70" w:rsidRDefault="001339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3970" w:rsidRDefault="001339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70" w:rsidRDefault="001339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11EA">
      <w:rPr>
        <w:rStyle w:val="PageNumber"/>
        <w:noProof/>
      </w:rPr>
      <w:t>18</w:t>
    </w:r>
    <w:r>
      <w:rPr>
        <w:rStyle w:val="PageNumber"/>
      </w:rPr>
      <w:fldChar w:fldCharType="end"/>
    </w:r>
  </w:p>
  <w:p w:rsidR="00133970" w:rsidRDefault="00133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146" w:rsidRDefault="00DE5146">
      <w:r>
        <w:separator/>
      </w:r>
    </w:p>
  </w:footnote>
  <w:footnote w:type="continuationSeparator" w:id="0">
    <w:p w:rsidR="00DE5146" w:rsidRDefault="00DE51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84D"/>
    <w:multiLevelType w:val="singleLevel"/>
    <w:tmpl w:val="9E92C30A"/>
    <w:lvl w:ilvl="0">
      <w:start w:val="1"/>
      <w:numFmt w:val="lowerLetter"/>
      <w:lvlText w:val="(%1)"/>
      <w:lvlJc w:val="left"/>
      <w:pPr>
        <w:tabs>
          <w:tab w:val="num" w:pos="1080"/>
        </w:tabs>
        <w:ind w:left="1080" w:hanging="360"/>
      </w:pPr>
      <w:rPr>
        <w:rFonts w:hint="default"/>
      </w:rPr>
    </w:lvl>
  </w:abstractNum>
  <w:abstractNum w:abstractNumId="1">
    <w:nsid w:val="10B51F76"/>
    <w:multiLevelType w:val="hybridMultilevel"/>
    <w:tmpl w:val="4732A7DC"/>
    <w:lvl w:ilvl="0" w:tplc="CD5009EC">
      <w:start w:val="1"/>
      <w:numFmt w:val="lowerLetter"/>
      <w:lvlText w:val="(%1)"/>
      <w:lvlJc w:val="left"/>
      <w:pPr>
        <w:ind w:left="810" w:hanging="360"/>
      </w:pPr>
      <w:rPr>
        <w:rFonts w:hint="default"/>
      </w:rPr>
    </w:lvl>
    <w:lvl w:ilvl="1" w:tplc="44090019" w:tentative="1">
      <w:start w:val="1"/>
      <w:numFmt w:val="lowerLetter"/>
      <w:lvlText w:val="%2."/>
      <w:lvlJc w:val="left"/>
      <w:pPr>
        <w:ind w:left="1530" w:hanging="360"/>
      </w:pPr>
    </w:lvl>
    <w:lvl w:ilvl="2" w:tplc="4409001B" w:tentative="1">
      <w:start w:val="1"/>
      <w:numFmt w:val="lowerRoman"/>
      <w:lvlText w:val="%3."/>
      <w:lvlJc w:val="right"/>
      <w:pPr>
        <w:ind w:left="2250" w:hanging="180"/>
      </w:pPr>
    </w:lvl>
    <w:lvl w:ilvl="3" w:tplc="4409000F" w:tentative="1">
      <w:start w:val="1"/>
      <w:numFmt w:val="decimal"/>
      <w:lvlText w:val="%4."/>
      <w:lvlJc w:val="left"/>
      <w:pPr>
        <w:ind w:left="2970" w:hanging="360"/>
      </w:pPr>
    </w:lvl>
    <w:lvl w:ilvl="4" w:tplc="44090019" w:tentative="1">
      <w:start w:val="1"/>
      <w:numFmt w:val="lowerLetter"/>
      <w:lvlText w:val="%5."/>
      <w:lvlJc w:val="left"/>
      <w:pPr>
        <w:ind w:left="3690" w:hanging="360"/>
      </w:pPr>
    </w:lvl>
    <w:lvl w:ilvl="5" w:tplc="4409001B" w:tentative="1">
      <w:start w:val="1"/>
      <w:numFmt w:val="lowerRoman"/>
      <w:lvlText w:val="%6."/>
      <w:lvlJc w:val="right"/>
      <w:pPr>
        <w:ind w:left="4410" w:hanging="180"/>
      </w:pPr>
    </w:lvl>
    <w:lvl w:ilvl="6" w:tplc="4409000F" w:tentative="1">
      <w:start w:val="1"/>
      <w:numFmt w:val="decimal"/>
      <w:lvlText w:val="%7."/>
      <w:lvlJc w:val="left"/>
      <w:pPr>
        <w:ind w:left="5130" w:hanging="360"/>
      </w:pPr>
    </w:lvl>
    <w:lvl w:ilvl="7" w:tplc="44090019" w:tentative="1">
      <w:start w:val="1"/>
      <w:numFmt w:val="lowerLetter"/>
      <w:lvlText w:val="%8."/>
      <w:lvlJc w:val="left"/>
      <w:pPr>
        <w:ind w:left="5850" w:hanging="360"/>
      </w:pPr>
    </w:lvl>
    <w:lvl w:ilvl="8" w:tplc="4409001B" w:tentative="1">
      <w:start w:val="1"/>
      <w:numFmt w:val="lowerRoman"/>
      <w:lvlText w:val="%9."/>
      <w:lvlJc w:val="right"/>
      <w:pPr>
        <w:ind w:left="6570" w:hanging="180"/>
      </w:pPr>
    </w:lvl>
  </w:abstractNum>
  <w:abstractNum w:abstractNumId="2">
    <w:nsid w:val="328B3A43"/>
    <w:multiLevelType w:val="hybridMultilevel"/>
    <w:tmpl w:val="BE6CC086"/>
    <w:lvl w:ilvl="0" w:tplc="297E378C">
      <w:start w:val="2"/>
      <w:numFmt w:val="lowerLetter"/>
      <w:lvlText w:val="%1)"/>
      <w:lvlJc w:val="left"/>
      <w:pPr>
        <w:ind w:left="1647"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32DA1C88"/>
    <w:multiLevelType w:val="hybridMultilevel"/>
    <w:tmpl w:val="BFC69E8E"/>
    <w:lvl w:ilvl="0" w:tplc="15B045DC">
      <w:start w:val="1"/>
      <w:numFmt w:val="lowerLetter"/>
      <w:lvlText w:val="%1."/>
      <w:lvlJc w:val="left"/>
      <w:pPr>
        <w:ind w:left="81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40F53287"/>
    <w:multiLevelType w:val="hybridMultilevel"/>
    <w:tmpl w:val="964ED05E"/>
    <w:lvl w:ilvl="0" w:tplc="4409000F">
      <w:start w:val="1"/>
      <w:numFmt w:val="decimal"/>
      <w:lvlText w:val="%1."/>
      <w:lvlJc w:val="left"/>
      <w:pPr>
        <w:ind w:left="810" w:hanging="360"/>
      </w:pPr>
    </w:lvl>
    <w:lvl w:ilvl="1" w:tplc="44090019" w:tentative="1">
      <w:start w:val="1"/>
      <w:numFmt w:val="lowerLetter"/>
      <w:lvlText w:val="%2."/>
      <w:lvlJc w:val="left"/>
      <w:pPr>
        <w:ind w:left="1530" w:hanging="360"/>
      </w:pPr>
    </w:lvl>
    <w:lvl w:ilvl="2" w:tplc="4409001B" w:tentative="1">
      <w:start w:val="1"/>
      <w:numFmt w:val="lowerRoman"/>
      <w:lvlText w:val="%3."/>
      <w:lvlJc w:val="right"/>
      <w:pPr>
        <w:ind w:left="2250" w:hanging="180"/>
      </w:pPr>
    </w:lvl>
    <w:lvl w:ilvl="3" w:tplc="4409000F" w:tentative="1">
      <w:start w:val="1"/>
      <w:numFmt w:val="decimal"/>
      <w:lvlText w:val="%4."/>
      <w:lvlJc w:val="left"/>
      <w:pPr>
        <w:ind w:left="2970" w:hanging="360"/>
      </w:pPr>
    </w:lvl>
    <w:lvl w:ilvl="4" w:tplc="44090019" w:tentative="1">
      <w:start w:val="1"/>
      <w:numFmt w:val="lowerLetter"/>
      <w:lvlText w:val="%5."/>
      <w:lvlJc w:val="left"/>
      <w:pPr>
        <w:ind w:left="3690" w:hanging="360"/>
      </w:pPr>
    </w:lvl>
    <w:lvl w:ilvl="5" w:tplc="4409001B" w:tentative="1">
      <w:start w:val="1"/>
      <w:numFmt w:val="lowerRoman"/>
      <w:lvlText w:val="%6."/>
      <w:lvlJc w:val="right"/>
      <w:pPr>
        <w:ind w:left="4410" w:hanging="180"/>
      </w:pPr>
    </w:lvl>
    <w:lvl w:ilvl="6" w:tplc="4409000F" w:tentative="1">
      <w:start w:val="1"/>
      <w:numFmt w:val="decimal"/>
      <w:lvlText w:val="%7."/>
      <w:lvlJc w:val="left"/>
      <w:pPr>
        <w:ind w:left="5130" w:hanging="360"/>
      </w:pPr>
    </w:lvl>
    <w:lvl w:ilvl="7" w:tplc="44090019" w:tentative="1">
      <w:start w:val="1"/>
      <w:numFmt w:val="lowerLetter"/>
      <w:lvlText w:val="%8."/>
      <w:lvlJc w:val="left"/>
      <w:pPr>
        <w:ind w:left="5850" w:hanging="360"/>
      </w:pPr>
    </w:lvl>
    <w:lvl w:ilvl="8" w:tplc="4409001B" w:tentative="1">
      <w:start w:val="1"/>
      <w:numFmt w:val="lowerRoman"/>
      <w:lvlText w:val="%9."/>
      <w:lvlJc w:val="right"/>
      <w:pPr>
        <w:ind w:left="6570" w:hanging="180"/>
      </w:pPr>
    </w:lvl>
  </w:abstractNum>
  <w:abstractNum w:abstractNumId="5">
    <w:nsid w:val="4B6A5AF4"/>
    <w:multiLevelType w:val="multilevel"/>
    <w:tmpl w:val="B2005850"/>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4FD5765F"/>
    <w:multiLevelType w:val="hybridMultilevel"/>
    <w:tmpl w:val="964ED05E"/>
    <w:lvl w:ilvl="0" w:tplc="4409000F">
      <w:start w:val="1"/>
      <w:numFmt w:val="decimal"/>
      <w:lvlText w:val="%1."/>
      <w:lvlJc w:val="left"/>
      <w:pPr>
        <w:ind w:left="810" w:hanging="360"/>
      </w:pPr>
    </w:lvl>
    <w:lvl w:ilvl="1" w:tplc="44090019" w:tentative="1">
      <w:start w:val="1"/>
      <w:numFmt w:val="lowerLetter"/>
      <w:lvlText w:val="%2."/>
      <w:lvlJc w:val="left"/>
      <w:pPr>
        <w:ind w:left="1530" w:hanging="360"/>
      </w:pPr>
    </w:lvl>
    <w:lvl w:ilvl="2" w:tplc="4409001B" w:tentative="1">
      <w:start w:val="1"/>
      <w:numFmt w:val="lowerRoman"/>
      <w:lvlText w:val="%3."/>
      <w:lvlJc w:val="right"/>
      <w:pPr>
        <w:ind w:left="2250" w:hanging="180"/>
      </w:pPr>
    </w:lvl>
    <w:lvl w:ilvl="3" w:tplc="4409000F" w:tentative="1">
      <w:start w:val="1"/>
      <w:numFmt w:val="decimal"/>
      <w:lvlText w:val="%4."/>
      <w:lvlJc w:val="left"/>
      <w:pPr>
        <w:ind w:left="2970" w:hanging="360"/>
      </w:pPr>
    </w:lvl>
    <w:lvl w:ilvl="4" w:tplc="44090019" w:tentative="1">
      <w:start w:val="1"/>
      <w:numFmt w:val="lowerLetter"/>
      <w:lvlText w:val="%5."/>
      <w:lvlJc w:val="left"/>
      <w:pPr>
        <w:ind w:left="3690" w:hanging="360"/>
      </w:pPr>
    </w:lvl>
    <w:lvl w:ilvl="5" w:tplc="4409001B" w:tentative="1">
      <w:start w:val="1"/>
      <w:numFmt w:val="lowerRoman"/>
      <w:lvlText w:val="%6."/>
      <w:lvlJc w:val="right"/>
      <w:pPr>
        <w:ind w:left="4410" w:hanging="180"/>
      </w:pPr>
    </w:lvl>
    <w:lvl w:ilvl="6" w:tplc="4409000F" w:tentative="1">
      <w:start w:val="1"/>
      <w:numFmt w:val="decimal"/>
      <w:lvlText w:val="%7."/>
      <w:lvlJc w:val="left"/>
      <w:pPr>
        <w:ind w:left="5130" w:hanging="360"/>
      </w:pPr>
    </w:lvl>
    <w:lvl w:ilvl="7" w:tplc="44090019" w:tentative="1">
      <w:start w:val="1"/>
      <w:numFmt w:val="lowerLetter"/>
      <w:lvlText w:val="%8."/>
      <w:lvlJc w:val="left"/>
      <w:pPr>
        <w:ind w:left="5850" w:hanging="360"/>
      </w:pPr>
    </w:lvl>
    <w:lvl w:ilvl="8" w:tplc="4409001B" w:tentative="1">
      <w:start w:val="1"/>
      <w:numFmt w:val="lowerRoman"/>
      <w:lvlText w:val="%9."/>
      <w:lvlJc w:val="right"/>
      <w:pPr>
        <w:ind w:left="6570" w:hanging="180"/>
      </w:pPr>
    </w:lvl>
  </w:abstractNum>
  <w:abstractNum w:abstractNumId="7">
    <w:nsid w:val="516D03B3"/>
    <w:multiLevelType w:val="hybridMultilevel"/>
    <w:tmpl w:val="259C33E0"/>
    <w:lvl w:ilvl="0" w:tplc="44090001">
      <w:start w:val="1"/>
      <w:numFmt w:val="bullet"/>
      <w:lvlText w:val=""/>
      <w:lvlJc w:val="left"/>
      <w:pPr>
        <w:ind w:left="1287" w:hanging="360"/>
      </w:pPr>
      <w:rPr>
        <w:rFonts w:ascii="Symbol" w:hAnsi="Symbol"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8">
    <w:nsid w:val="59C77089"/>
    <w:multiLevelType w:val="hybridMultilevel"/>
    <w:tmpl w:val="0566564A"/>
    <w:lvl w:ilvl="0" w:tplc="4DC0572E">
      <w:start w:val="1"/>
      <w:numFmt w:val="lowerLetter"/>
      <w:lvlText w:val="(%1)"/>
      <w:lvlJc w:val="left"/>
      <w:pPr>
        <w:ind w:left="1647"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9">
    <w:nsid w:val="6520532A"/>
    <w:multiLevelType w:val="hybridMultilevel"/>
    <w:tmpl w:val="E2EAC95A"/>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nsid w:val="65C61EBC"/>
    <w:multiLevelType w:val="hybridMultilevel"/>
    <w:tmpl w:val="1A8848C6"/>
    <w:lvl w:ilvl="0" w:tplc="4409001B">
      <w:start w:val="1"/>
      <w:numFmt w:val="lowerRoman"/>
      <w:lvlText w:val="%1."/>
      <w:lvlJc w:val="right"/>
      <w:pPr>
        <w:ind w:left="1647"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1">
    <w:nsid w:val="696F0DD2"/>
    <w:multiLevelType w:val="hybridMultilevel"/>
    <w:tmpl w:val="B75CDC8A"/>
    <w:lvl w:ilvl="0" w:tplc="44090017">
      <w:start w:val="1"/>
      <w:numFmt w:val="lowerLetter"/>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2">
    <w:nsid w:val="74C86573"/>
    <w:multiLevelType w:val="hybridMultilevel"/>
    <w:tmpl w:val="5044D73A"/>
    <w:lvl w:ilvl="0" w:tplc="44090017">
      <w:start w:val="1"/>
      <w:numFmt w:val="lowerLetter"/>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3">
    <w:nsid w:val="77B361FF"/>
    <w:multiLevelType w:val="hybridMultilevel"/>
    <w:tmpl w:val="9F6A3870"/>
    <w:lvl w:ilvl="0" w:tplc="44090017">
      <w:start w:val="1"/>
      <w:numFmt w:val="lowerLetter"/>
      <w:lvlText w:val="%1)"/>
      <w:lvlJc w:val="left"/>
      <w:pPr>
        <w:ind w:left="1571" w:hanging="360"/>
      </w:pPr>
    </w:lvl>
    <w:lvl w:ilvl="1" w:tplc="44090019" w:tentative="1">
      <w:start w:val="1"/>
      <w:numFmt w:val="lowerLetter"/>
      <w:lvlText w:val="%2."/>
      <w:lvlJc w:val="left"/>
      <w:pPr>
        <w:ind w:left="2291" w:hanging="360"/>
      </w:pPr>
    </w:lvl>
    <w:lvl w:ilvl="2" w:tplc="4409001B" w:tentative="1">
      <w:start w:val="1"/>
      <w:numFmt w:val="lowerRoman"/>
      <w:lvlText w:val="%3."/>
      <w:lvlJc w:val="right"/>
      <w:pPr>
        <w:ind w:left="3011" w:hanging="180"/>
      </w:pPr>
    </w:lvl>
    <w:lvl w:ilvl="3" w:tplc="4409000F" w:tentative="1">
      <w:start w:val="1"/>
      <w:numFmt w:val="decimal"/>
      <w:lvlText w:val="%4."/>
      <w:lvlJc w:val="left"/>
      <w:pPr>
        <w:ind w:left="3731" w:hanging="360"/>
      </w:pPr>
    </w:lvl>
    <w:lvl w:ilvl="4" w:tplc="44090019" w:tentative="1">
      <w:start w:val="1"/>
      <w:numFmt w:val="lowerLetter"/>
      <w:lvlText w:val="%5."/>
      <w:lvlJc w:val="left"/>
      <w:pPr>
        <w:ind w:left="4451" w:hanging="360"/>
      </w:pPr>
    </w:lvl>
    <w:lvl w:ilvl="5" w:tplc="4409001B" w:tentative="1">
      <w:start w:val="1"/>
      <w:numFmt w:val="lowerRoman"/>
      <w:lvlText w:val="%6."/>
      <w:lvlJc w:val="right"/>
      <w:pPr>
        <w:ind w:left="5171" w:hanging="180"/>
      </w:pPr>
    </w:lvl>
    <w:lvl w:ilvl="6" w:tplc="4409000F" w:tentative="1">
      <w:start w:val="1"/>
      <w:numFmt w:val="decimal"/>
      <w:lvlText w:val="%7."/>
      <w:lvlJc w:val="left"/>
      <w:pPr>
        <w:ind w:left="5891" w:hanging="360"/>
      </w:pPr>
    </w:lvl>
    <w:lvl w:ilvl="7" w:tplc="44090019" w:tentative="1">
      <w:start w:val="1"/>
      <w:numFmt w:val="lowerLetter"/>
      <w:lvlText w:val="%8."/>
      <w:lvlJc w:val="left"/>
      <w:pPr>
        <w:ind w:left="6611" w:hanging="360"/>
      </w:pPr>
    </w:lvl>
    <w:lvl w:ilvl="8" w:tplc="4409001B" w:tentative="1">
      <w:start w:val="1"/>
      <w:numFmt w:val="lowerRoman"/>
      <w:lvlText w:val="%9."/>
      <w:lvlJc w:val="right"/>
      <w:pPr>
        <w:ind w:left="7331" w:hanging="180"/>
      </w:pPr>
    </w:lvl>
  </w:abstractNum>
  <w:abstractNum w:abstractNumId="14">
    <w:nsid w:val="79411421"/>
    <w:multiLevelType w:val="hybridMultilevel"/>
    <w:tmpl w:val="B016A750"/>
    <w:lvl w:ilvl="0" w:tplc="44090001">
      <w:start w:val="1"/>
      <w:numFmt w:val="bullet"/>
      <w:lvlText w:val=""/>
      <w:lvlJc w:val="left"/>
      <w:pPr>
        <w:ind w:left="1287" w:hanging="360"/>
      </w:pPr>
      <w:rPr>
        <w:rFonts w:ascii="Symbol" w:hAnsi="Symbol"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9"/>
  </w:num>
  <w:num w:numId="6">
    <w:abstractNumId w:val="7"/>
  </w:num>
  <w:num w:numId="7">
    <w:abstractNumId w:val="14"/>
  </w:num>
  <w:num w:numId="8">
    <w:abstractNumId w:val="8"/>
  </w:num>
  <w:num w:numId="9">
    <w:abstractNumId w:val="10"/>
  </w:num>
  <w:num w:numId="10">
    <w:abstractNumId w:val="2"/>
  </w:num>
  <w:num w:numId="11">
    <w:abstractNumId w:val="6"/>
  </w:num>
  <w:num w:numId="12">
    <w:abstractNumId w:val="3"/>
  </w:num>
  <w:num w:numId="13">
    <w:abstractNumId w:val="12"/>
  </w:num>
  <w:num w:numId="14">
    <w:abstractNumId w:val="11"/>
  </w:num>
  <w:num w:numId="1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5E1"/>
    <w:rsid w:val="00000639"/>
    <w:rsid w:val="00001403"/>
    <w:rsid w:val="00001542"/>
    <w:rsid w:val="00001821"/>
    <w:rsid w:val="0000228F"/>
    <w:rsid w:val="00003DCA"/>
    <w:rsid w:val="00004CBB"/>
    <w:rsid w:val="000072FF"/>
    <w:rsid w:val="00007939"/>
    <w:rsid w:val="00011688"/>
    <w:rsid w:val="00011CA8"/>
    <w:rsid w:val="00013DC8"/>
    <w:rsid w:val="0001454E"/>
    <w:rsid w:val="00014F96"/>
    <w:rsid w:val="00015759"/>
    <w:rsid w:val="00016505"/>
    <w:rsid w:val="000216D8"/>
    <w:rsid w:val="000226A2"/>
    <w:rsid w:val="00023856"/>
    <w:rsid w:val="0002758B"/>
    <w:rsid w:val="000302AF"/>
    <w:rsid w:val="000316C5"/>
    <w:rsid w:val="00031948"/>
    <w:rsid w:val="00031C68"/>
    <w:rsid w:val="00031C8E"/>
    <w:rsid w:val="00032E28"/>
    <w:rsid w:val="0003335B"/>
    <w:rsid w:val="00036890"/>
    <w:rsid w:val="000372E4"/>
    <w:rsid w:val="00040C12"/>
    <w:rsid w:val="00041721"/>
    <w:rsid w:val="00042DEA"/>
    <w:rsid w:val="000431FC"/>
    <w:rsid w:val="00043473"/>
    <w:rsid w:val="000439D5"/>
    <w:rsid w:val="00043ABC"/>
    <w:rsid w:val="00043EE7"/>
    <w:rsid w:val="0004488A"/>
    <w:rsid w:val="00044D66"/>
    <w:rsid w:val="0004553F"/>
    <w:rsid w:val="00046616"/>
    <w:rsid w:val="00047629"/>
    <w:rsid w:val="00051DF7"/>
    <w:rsid w:val="0005204F"/>
    <w:rsid w:val="000531B6"/>
    <w:rsid w:val="00055E38"/>
    <w:rsid w:val="0005686B"/>
    <w:rsid w:val="000572AE"/>
    <w:rsid w:val="00057321"/>
    <w:rsid w:val="0006084B"/>
    <w:rsid w:val="00064E0D"/>
    <w:rsid w:val="00065554"/>
    <w:rsid w:val="00066D79"/>
    <w:rsid w:val="000707A8"/>
    <w:rsid w:val="000716E5"/>
    <w:rsid w:val="000717F8"/>
    <w:rsid w:val="000720FE"/>
    <w:rsid w:val="00072EBE"/>
    <w:rsid w:val="00073435"/>
    <w:rsid w:val="0007367B"/>
    <w:rsid w:val="00073C9A"/>
    <w:rsid w:val="00073F28"/>
    <w:rsid w:val="00074119"/>
    <w:rsid w:val="00074469"/>
    <w:rsid w:val="0007472A"/>
    <w:rsid w:val="00075ECE"/>
    <w:rsid w:val="00077CFB"/>
    <w:rsid w:val="00080E7C"/>
    <w:rsid w:val="0008164B"/>
    <w:rsid w:val="00083E86"/>
    <w:rsid w:val="0008491D"/>
    <w:rsid w:val="000852D9"/>
    <w:rsid w:val="000857D6"/>
    <w:rsid w:val="00086045"/>
    <w:rsid w:val="00086603"/>
    <w:rsid w:val="00087E93"/>
    <w:rsid w:val="00090C17"/>
    <w:rsid w:val="00093E68"/>
    <w:rsid w:val="00094D2C"/>
    <w:rsid w:val="00095735"/>
    <w:rsid w:val="000975E8"/>
    <w:rsid w:val="000A053C"/>
    <w:rsid w:val="000A47CD"/>
    <w:rsid w:val="000A50A8"/>
    <w:rsid w:val="000A51F0"/>
    <w:rsid w:val="000A61EA"/>
    <w:rsid w:val="000B18E3"/>
    <w:rsid w:val="000B1F4A"/>
    <w:rsid w:val="000B2C34"/>
    <w:rsid w:val="000B2F33"/>
    <w:rsid w:val="000B3E01"/>
    <w:rsid w:val="000B5713"/>
    <w:rsid w:val="000B5ECE"/>
    <w:rsid w:val="000B6E18"/>
    <w:rsid w:val="000C0343"/>
    <w:rsid w:val="000C0A8A"/>
    <w:rsid w:val="000C1253"/>
    <w:rsid w:val="000C17FD"/>
    <w:rsid w:val="000C3979"/>
    <w:rsid w:val="000C53F7"/>
    <w:rsid w:val="000C5F0C"/>
    <w:rsid w:val="000C76B2"/>
    <w:rsid w:val="000C7BAF"/>
    <w:rsid w:val="000D0B24"/>
    <w:rsid w:val="000D0FBA"/>
    <w:rsid w:val="000D1CEE"/>
    <w:rsid w:val="000D322E"/>
    <w:rsid w:val="000D3A98"/>
    <w:rsid w:val="000D403B"/>
    <w:rsid w:val="000D5FC8"/>
    <w:rsid w:val="000D6F7E"/>
    <w:rsid w:val="000D772B"/>
    <w:rsid w:val="000D7973"/>
    <w:rsid w:val="000D7DF4"/>
    <w:rsid w:val="000E018B"/>
    <w:rsid w:val="000E0BE3"/>
    <w:rsid w:val="000E0E86"/>
    <w:rsid w:val="000E1081"/>
    <w:rsid w:val="000E1E90"/>
    <w:rsid w:val="000E2356"/>
    <w:rsid w:val="000E2824"/>
    <w:rsid w:val="000E283C"/>
    <w:rsid w:val="000E4D89"/>
    <w:rsid w:val="000E5165"/>
    <w:rsid w:val="000E5F40"/>
    <w:rsid w:val="000E67D0"/>
    <w:rsid w:val="000E67EA"/>
    <w:rsid w:val="000E6D5D"/>
    <w:rsid w:val="000E7FAA"/>
    <w:rsid w:val="000F1EFD"/>
    <w:rsid w:val="000F2C80"/>
    <w:rsid w:val="000F328E"/>
    <w:rsid w:val="000F40F5"/>
    <w:rsid w:val="000F65D0"/>
    <w:rsid w:val="00100723"/>
    <w:rsid w:val="00101561"/>
    <w:rsid w:val="00101597"/>
    <w:rsid w:val="0010219B"/>
    <w:rsid w:val="00102E36"/>
    <w:rsid w:val="001038E6"/>
    <w:rsid w:val="001045F2"/>
    <w:rsid w:val="00104EE3"/>
    <w:rsid w:val="00105646"/>
    <w:rsid w:val="001064DC"/>
    <w:rsid w:val="00106BD7"/>
    <w:rsid w:val="00110BDB"/>
    <w:rsid w:val="00111283"/>
    <w:rsid w:val="0011168C"/>
    <w:rsid w:val="00112A3A"/>
    <w:rsid w:val="00112C7C"/>
    <w:rsid w:val="00112D58"/>
    <w:rsid w:val="00113102"/>
    <w:rsid w:val="00113908"/>
    <w:rsid w:val="00114FC0"/>
    <w:rsid w:val="00117563"/>
    <w:rsid w:val="0012035E"/>
    <w:rsid w:val="00120948"/>
    <w:rsid w:val="00121699"/>
    <w:rsid w:val="00122872"/>
    <w:rsid w:val="00123C3B"/>
    <w:rsid w:val="001241E5"/>
    <w:rsid w:val="001260AF"/>
    <w:rsid w:val="00126954"/>
    <w:rsid w:val="001277A8"/>
    <w:rsid w:val="00130497"/>
    <w:rsid w:val="00130C5C"/>
    <w:rsid w:val="00133970"/>
    <w:rsid w:val="001356D3"/>
    <w:rsid w:val="00135903"/>
    <w:rsid w:val="0013616A"/>
    <w:rsid w:val="001375FA"/>
    <w:rsid w:val="0013767B"/>
    <w:rsid w:val="001401EA"/>
    <w:rsid w:val="00140889"/>
    <w:rsid w:val="001411C4"/>
    <w:rsid w:val="0014133F"/>
    <w:rsid w:val="0014327F"/>
    <w:rsid w:val="001438E8"/>
    <w:rsid w:val="00143DEC"/>
    <w:rsid w:val="00144776"/>
    <w:rsid w:val="00145747"/>
    <w:rsid w:val="00146298"/>
    <w:rsid w:val="0014631E"/>
    <w:rsid w:val="00146757"/>
    <w:rsid w:val="00150271"/>
    <w:rsid w:val="00150B85"/>
    <w:rsid w:val="00151B37"/>
    <w:rsid w:val="00152686"/>
    <w:rsid w:val="00152E95"/>
    <w:rsid w:val="00153049"/>
    <w:rsid w:val="00154AC4"/>
    <w:rsid w:val="00156D27"/>
    <w:rsid w:val="00157928"/>
    <w:rsid w:val="00157A7E"/>
    <w:rsid w:val="00161649"/>
    <w:rsid w:val="001619FF"/>
    <w:rsid w:val="001640DA"/>
    <w:rsid w:val="00164895"/>
    <w:rsid w:val="00166403"/>
    <w:rsid w:val="00167532"/>
    <w:rsid w:val="00167FED"/>
    <w:rsid w:val="0017332D"/>
    <w:rsid w:val="00174BDC"/>
    <w:rsid w:val="00176082"/>
    <w:rsid w:val="00176868"/>
    <w:rsid w:val="00176DC0"/>
    <w:rsid w:val="00177CB4"/>
    <w:rsid w:val="00177E10"/>
    <w:rsid w:val="001809FE"/>
    <w:rsid w:val="0018227F"/>
    <w:rsid w:val="0018350D"/>
    <w:rsid w:val="00183B54"/>
    <w:rsid w:val="001844E5"/>
    <w:rsid w:val="00184745"/>
    <w:rsid w:val="00186EE6"/>
    <w:rsid w:val="0019006F"/>
    <w:rsid w:val="00190D1B"/>
    <w:rsid w:val="00195E07"/>
    <w:rsid w:val="0019600F"/>
    <w:rsid w:val="001962BE"/>
    <w:rsid w:val="001974DA"/>
    <w:rsid w:val="00197D52"/>
    <w:rsid w:val="001A13B3"/>
    <w:rsid w:val="001A1487"/>
    <w:rsid w:val="001A34FE"/>
    <w:rsid w:val="001A399B"/>
    <w:rsid w:val="001A40AF"/>
    <w:rsid w:val="001A5848"/>
    <w:rsid w:val="001A6068"/>
    <w:rsid w:val="001A63C3"/>
    <w:rsid w:val="001A727B"/>
    <w:rsid w:val="001A7F47"/>
    <w:rsid w:val="001B074D"/>
    <w:rsid w:val="001B1AA1"/>
    <w:rsid w:val="001B2E65"/>
    <w:rsid w:val="001B3623"/>
    <w:rsid w:val="001B3C9E"/>
    <w:rsid w:val="001B691F"/>
    <w:rsid w:val="001C001F"/>
    <w:rsid w:val="001C1131"/>
    <w:rsid w:val="001C27C7"/>
    <w:rsid w:val="001C3278"/>
    <w:rsid w:val="001C3CAD"/>
    <w:rsid w:val="001C4AD6"/>
    <w:rsid w:val="001C6371"/>
    <w:rsid w:val="001C6D1A"/>
    <w:rsid w:val="001C73A7"/>
    <w:rsid w:val="001C74BF"/>
    <w:rsid w:val="001C7928"/>
    <w:rsid w:val="001C7B16"/>
    <w:rsid w:val="001C7E91"/>
    <w:rsid w:val="001D01E8"/>
    <w:rsid w:val="001D179E"/>
    <w:rsid w:val="001D184E"/>
    <w:rsid w:val="001D1C45"/>
    <w:rsid w:val="001D1CFA"/>
    <w:rsid w:val="001D1E37"/>
    <w:rsid w:val="001D26DC"/>
    <w:rsid w:val="001D2738"/>
    <w:rsid w:val="001D3C3A"/>
    <w:rsid w:val="001D3EAE"/>
    <w:rsid w:val="001D4376"/>
    <w:rsid w:val="001D452A"/>
    <w:rsid w:val="001D79A3"/>
    <w:rsid w:val="001D7A32"/>
    <w:rsid w:val="001E34A5"/>
    <w:rsid w:val="001E63F3"/>
    <w:rsid w:val="001E6870"/>
    <w:rsid w:val="001E7833"/>
    <w:rsid w:val="001F022F"/>
    <w:rsid w:val="001F09E6"/>
    <w:rsid w:val="001F0DA5"/>
    <w:rsid w:val="001F107F"/>
    <w:rsid w:val="001F11CA"/>
    <w:rsid w:val="001F29EA"/>
    <w:rsid w:val="001F39EB"/>
    <w:rsid w:val="001F4D53"/>
    <w:rsid w:val="001F4EBE"/>
    <w:rsid w:val="001F5230"/>
    <w:rsid w:val="001F5490"/>
    <w:rsid w:val="001F6569"/>
    <w:rsid w:val="0020027D"/>
    <w:rsid w:val="00200D5D"/>
    <w:rsid w:val="002014DC"/>
    <w:rsid w:val="002023B2"/>
    <w:rsid w:val="0020308F"/>
    <w:rsid w:val="00203F5D"/>
    <w:rsid w:val="0020575C"/>
    <w:rsid w:val="00205998"/>
    <w:rsid w:val="00205ABD"/>
    <w:rsid w:val="00205B91"/>
    <w:rsid w:val="002077D3"/>
    <w:rsid w:val="00213911"/>
    <w:rsid w:val="00214C5D"/>
    <w:rsid w:val="00214E64"/>
    <w:rsid w:val="0021500A"/>
    <w:rsid w:val="00215564"/>
    <w:rsid w:val="0022022A"/>
    <w:rsid w:val="00220521"/>
    <w:rsid w:val="0022057B"/>
    <w:rsid w:val="00220912"/>
    <w:rsid w:val="00220DA5"/>
    <w:rsid w:val="00221433"/>
    <w:rsid w:val="00223640"/>
    <w:rsid w:val="002240A6"/>
    <w:rsid w:val="0022504C"/>
    <w:rsid w:val="00225764"/>
    <w:rsid w:val="00226B5D"/>
    <w:rsid w:val="00226E10"/>
    <w:rsid w:val="00227FA6"/>
    <w:rsid w:val="00230E45"/>
    <w:rsid w:val="00232796"/>
    <w:rsid w:val="0023334C"/>
    <w:rsid w:val="002338D0"/>
    <w:rsid w:val="0023666B"/>
    <w:rsid w:val="00236A9F"/>
    <w:rsid w:val="00236F86"/>
    <w:rsid w:val="00240837"/>
    <w:rsid w:val="00240E79"/>
    <w:rsid w:val="00240FDC"/>
    <w:rsid w:val="00243289"/>
    <w:rsid w:val="00243439"/>
    <w:rsid w:val="00243872"/>
    <w:rsid w:val="00245417"/>
    <w:rsid w:val="002460D8"/>
    <w:rsid w:val="00247777"/>
    <w:rsid w:val="00247912"/>
    <w:rsid w:val="00247D5E"/>
    <w:rsid w:val="00247F59"/>
    <w:rsid w:val="002501B4"/>
    <w:rsid w:val="0025044C"/>
    <w:rsid w:val="002512FE"/>
    <w:rsid w:val="0025198E"/>
    <w:rsid w:val="002519A2"/>
    <w:rsid w:val="00252729"/>
    <w:rsid w:val="002549BA"/>
    <w:rsid w:val="00255820"/>
    <w:rsid w:val="00256308"/>
    <w:rsid w:val="00256749"/>
    <w:rsid w:val="00260077"/>
    <w:rsid w:val="002600B0"/>
    <w:rsid w:val="002613BB"/>
    <w:rsid w:val="0026294F"/>
    <w:rsid w:val="0026395C"/>
    <w:rsid w:val="00266200"/>
    <w:rsid w:val="00266C98"/>
    <w:rsid w:val="00267E39"/>
    <w:rsid w:val="002708B1"/>
    <w:rsid w:val="00270BA7"/>
    <w:rsid w:val="002728A6"/>
    <w:rsid w:val="00273199"/>
    <w:rsid w:val="00277605"/>
    <w:rsid w:val="0028046E"/>
    <w:rsid w:val="00280ACE"/>
    <w:rsid w:val="002810D1"/>
    <w:rsid w:val="002811C5"/>
    <w:rsid w:val="00282489"/>
    <w:rsid w:val="00283E99"/>
    <w:rsid w:val="002858C4"/>
    <w:rsid w:val="00285B33"/>
    <w:rsid w:val="00286627"/>
    <w:rsid w:val="00286B9B"/>
    <w:rsid w:val="0028798C"/>
    <w:rsid w:val="00290829"/>
    <w:rsid w:val="00290909"/>
    <w:rsid w:val="00290DBF"/>
    <w:rsid w:val="00291B4E"/>
    <w:rsid w:val="00292618"/>
    <w:rsid w:val="002940A8"/>
    <w:rsid w:val="00294163"/>
    <w:rsid w:val="00294F20"/>
    <w:rsid w:val="0029635A"/>
    <w:rsid w:val="0029776E"/>
    <w:rsid w:val="00297976"/>
    <w:rsid w:val="002A01BD"/>
    <w:rsid w:val="002A03DB"/>
    <w:rsid w:val="002A26BD"/>
    <w:rsid w:val="002A32FA"/>
    <w:rsid w:val="002A3F9E"/>
    <w:rsid w:val="002A449F"/>
    <w:rsid w:val="002A4639"/>
    <w:rsid w:val="002A7C5B"/>
    <w:rsid w:val="002B29BB"/>
    <w:rsid w:val="002B363B"/>
    <w:rsid w:val="002B3944"/>
    <w:rsid w:val="002C0BE0"/>
    <w:rsid w:val="002C186A"/>
    <w:rsid w:val="002C2608"/>
    <w:rsid w:val="002C33BD"/>
    <w:rsid w:val="002C637F"/>
    <w:rsid w:val="002D1086"/>
    <w:rsid w:val="002D4DC3"/>
    <w:rsid w:val="002D60BD"/>
    <w:rsid w:val="002E069D"/>
    <w:rsid w:val="002E12F0"/>
    <w:rsid w:val="002E335F"/>
    <w:rsid w:val="002E3F45"/>
    <w:rsid w:val="002E5083"/>
    <w:rsid w:val="002E5970"/>
    <w:rsid w:val="002E5973"/>
    <w:rsid w:val="002E615F"/>
    <w:rsid w:val="002E6C3B"/>
    <w:rsid w:val="002E73FD"/>
    <w:rsid w:val="002E7E11"/>
    <w:rsid w:val="002F2313"/>
    <w:rsid w:val="002F2D1B"/>
    <w:rsid w:val="002F2F9C"/>
    <w:rsid w:val="002F5CE8"/>
    <w:rsid w:val="003007CE"/>
    <w:rsid w:val="00300918"/>
    <w:rsid w:val="0030181D"/>
    <w:rsid w:val="00303C32"/>
    <w:rsid w:val="00303FDF"/>
    <w:rsid w:val="00304630"/>
    <w:rsid w:val="003049AE"/>
    <w:rsid w:val="00304B14"/>
    <w:rsid w:val="00307071"/>
    <w:rsid w:val="0030710D"/>
    <w:rsid w:val="00307337"/>
    <w:rsid w:val="0030758C"/>
    <w:rsid w:val="003105EE"/>
    <w:rsid w:val="0031095A"/>
    <w:rsid w:val="00311BF9"/>
    <w:rsid w:val="00311FA5"/>
    <w:rsid w:val="00312804"/>
    <w:rsid w:val="0031521B"/>
    <w:rsid w:val="00317024"/>
    <w:rsid w:val="003201E2"/>
    <w:rsid w:val="00321B8B"/>
    <w:rsid w:val="003222AD"/>
    <w:rsid w:val="003250C5"/>
    <w:rsid w:val="003259F4"/>
    <w:rsid w:val="00325D96"/>
    <w:rsid w:val="003268E6"/>
    <w:rsid w:val="00327D3F"/>
    <w:rsid w:val="0033003F"/>
    <w:rsid w:val="003312BF"/>
    <w:rsid w:val="0033180A"/>
    <w:rsid w:val="00332F3B"/>
    <w:rsid w:val="003346C9"/>
    <w:rsid w:val="00334B5F"/>
    <w:rsid w:val="00340285"/>
    <w:rsid w:val="0034159E"/>
    <w:rsid w:val="003501AF"/>
    <w:rsid w:val="0035045C"/>
    <w:rsid w:val="00350922"/>
    <w:rsid w:val="003518D8"/>
    <w:rsid w:val="00352BE2"/>
    <w:rsid w:val="00352F2D"/>
    <w:rsid w:val="00354022"/>
    <w:rsid w:val="00354482"/>
    <w:rsid w:val="00356289"/>
    <w:rsid w:val="00356402"/>
    <w:rsid w:val="00356EBD"/>
    <w:rsid w:val="003608E7"/>
    <w:rsid w:val="0036161A"/>
    <w:rsid w:val="003623E9"/>
    <w:rsid w:val="003629D7"/>
    <w:rsid w:val="00362EB1"/>
    <w:rsid w:val="00363E7B"/>
    <w:rsid w:val="00363F8A"/>
    <w:rsid w:val="00364363"/>
    <w:rsid w:val="00366CC0"/>
    <w:rsid w:val="00370791"/>
    <w:rsid w:val="0037117B"/>
    <w:rsid w:val="0037201F"/>
    <w:rsid w:val="00372BFF"/>
    <w:rsid w:val="00374151"/>
    <w:rsid w:val="00374932"/>
    <w:rsid w:val="003753E6"/>
    <w:rsid w:val="00376A39"/>
    <w:rsid w:val="00377909"/>
    <w:rsid w:val="0038041B"/>
    <w:rsid w:val="0038180D"/>
    <w:rsid w:val="00381931"/>
    <w:rsid w:val="0038193E"/>
    <w:rsid w:val="00383617"/>
    <w:rsid w:val="00383F99"/>
    <w:rsid w:val="003842F3"/>
    <w:rsid w:val="00384CE2"/>
    <w:rsid w:val="003865D9"/>
    <w:rsid w:val="00386887"/>
    <w:rsid w:val="00387B36"/>
    <w:rsid w:val="00387F29"/>
    <w:rsid w:val="003927EC"/>
    <w:rsid w:val="00392A4A"/>
    <w:rsid w:val="0039499B"/>
    <w:rsid w:val="00394BAC"/>
    <w:rsid w:val="00395D5E"/>
    <w:rsid w:val="00396006"/>
    <w:rsid w:val="00396AAD"/>
    <w:rsid w:val="00397F96"/>
    <w:rsid w:val="003A259B"/>
    <w:rsid w:val="003A26C7"/>
    <w:rsid w:val="003A36BA"/>
    <w:rsid w:val="003A40CD"/>
    <w:rsid w:val="003A4204"/>
    <w:rsid w:val="003A7CBB"/>
    <w:rsid w:val="003B05D0"/>
    <w:rsid w:val="003B4BE0"/>
    <w:rsid w:val="003B5718"/>
    <w:rsid w:val="003B586C"/>
    <w:rsid w:val="003B64D3"/>
    <w:rsid w:val="003B6D86"/>
    <w:rsid w:val="003B6E9B"/>
    <w:rsid w:val="003C3D8D"/>
    <w:rsid w:val="003C6565"/>
    <w:rsid w:val="003C6A80"/>
    <w:rsid w:val="003C707C"/>
    <w:rsid w:val="003C70A5"/>
    <w:rsid w:val="003C77FB"/>
    <w:rsid w:val="003C78FF"/>
    <w:rsid w:val="003C7D2B"/>
    <w:rsid w:val="003D3C5F"/>
    <w:rsid w:val="003D55C2"/>
    <w:rsid w:val="003D6487"/>
    <w:rsid w:val="003D717A"/>
    <w:rsid w:val="003E01D5"/>
    <w:rsid w:val="003E0596"/>
    <w:rsid w:val="003E0D9D"/>
    <w:rsid w:val="003E10DF"/>
    <w:rsid w:val="003E1143"/>
    <w:rsid w:val="003E2092"/>
    <w:rsid w:val="003E2204"/>
    <w:rsid w:val="003E25B8"/>
    <w:rsid w:val="003E400A"/>
    <w:rsid w:val="003E480C"/>
    <w:rsid w:val="003E7415"/>
    <w:rsid w:val="003E7B5E"/>
    <w:rsid w:val="003F0AC7"/>
    <w:rsid w:val="003F276B"/>
    <w:rsid w:val="003F27BE"/>
    <w:rsid w:val="003F4B10"/>
    <w:rsid w:val="004000AD"/>
    <w:rsid w:val="004018FB"/>
    <w:rsid w:val="00401C1D"/>
    <w:rsid w:val="004036B6"/>
    <w:rsid w:val="004049B8"/>
    <w:rsid w:val="00404B06"/>
    <w:rsid w:val="004058D9"/>
    <w:rsid w:val="0040612D"/>
    <w:rsid w:val="00406369"/>
    <w:rsid w:val="004066D6"/>
    <w:rsid w:val="00406718"/>
    <w:rsid w:val="00414177"/>
    <w:rsid w:val="004141E5"/>
    <w:rsid w:val="00414EEF"/>
    <w:rsid w:val="0041508E"/>
    <w:rsid w:val="004154E2"/>
    <w:rsid w:val="0041781C"/>
    <w:rsid w:val="004229BC"/>
    <w:rsid w:val="004235F2"/>
    <w:rsid w:val="004245FA"/>
    <w:rsid w:val="00425C9E"/>
    <w:rsid w:val="00425DC6"/>
    <w:rsid w:val="00426060"/>
    <w:rsid w:val="00426FE3"/>
    <w:rsid w:val="00427D4B"/>
    <w:rsid w:val="00430EBA"/>
    <w:rsid w:val="00430EDE"/>
    <w:rsid w:val="0043187E"/>
    <w:rsid w:val="00432D89"/>
    <w:rsid w:val="0043405D"/>
    <w:rsid w:val="004360A0"/>
    <w:rsid w:val="00437565"/>
    <w:rsid w:val="00440DA8"/>
    <w:rsid w:val="00441757"/>
    <w:rsid w:val="004422B0"/>
    <w:rsid w:val="00442698"/>
    <w:rsid w:val="004456E3"/>
    <w:rsid w:val="004458B0"/>
    <w:rsid w:val="00445A81"/>
    <w:rsid w:val="00447FEA"/>
    <w:rsid w:val="004505B3"/>
    <w:rsid w:val="00450FBC"/>
    <w:rsid w:val="00452150"/>
    <w:rsid w:val="004547A6"/>
    <w:rsid w:val="00454AE6"/>
    <w:rsid w:val="00454FEE"/>
    <w:rsid w:val="00455BBF"/>
    <w:rsid w:val="00455EC1"/>
    <w:rsid w:val="0045612B"/>
    <w:rsid w:val="00456745"/>
    <w:rsid w:val="004579ED"/>
    <w:rsid w:val="004629CB"/>
    <w:rsid w:val="00463F90"/>
    <w:rsid w:val="0046555E"/>
    <w:rsid w:val="00466D7D"/>
    <w:rsid w:val="0046734E"/>
    <w:rsid w:val="00467D35"/>
    <w:rsid w:val="00470824"/>
    <w:rsid w:val="00471133"/>
    <w:rsid w:val="004712B2"/>
    <w:rsid w:val="00473332"/>
    <w:rsid w:val="004738F3"/>
    <w:rsid w:val="00473D4A"/>
    <w:rsid w:val="004748C1"/>
    <w:rsid w:val="00477441"/>
    <w:rsid w:val="00481393"/>
    <w:rsid w:val="004821A0"/>
    <w:rsid w:val="00483590"/>
    <w:rsid w:val="004836BA"/>
    <w:rsid w:val="00484076"/>
    <w:rsid w:val="00484491"/>
    <w:rsid w:val="00485BE4"/>
    <w:rsid w:val="0048708E"/>
    <w:rsid w:val="00490A8D"/>
    <w:rsid w:val="004944AE"/>
    <w:rsid w:val="0049521E"/>
    <w:rsid w:val="004953FA"/>
    <w:rsid w:val="0049632C"/>
    <w:rsid w:val="00496E4F"/>
    <w:rsid w:val="00497B4D"/>
    <w:rsid w:val="004A00EF"/>
    <w:rsid w:val="004A03C4"/>
    <w:rsid w:val="004A05F7"/>
    <w:rsid w:val="004A1B2C"/>
    <w:rsid w:val="004A2C00"/>
    <w:rsid w:val="004A3B9B"/>
    <w:rsid w:val="004A52E8"/>
    <w:rsid w:val="004A5C48"/>
    <w:rsid w:val="004A6941"/>
    <w:rsid w:val="004B01E5"/>
    <w:rsid w:val="004B1D39"/>
    <w:rsid w:val="004B36B9"/>
    <w:rsid w:val="004B3AB9"/>
    <w:rsid w:val="004B51B3"/>
    <w:rsid w:val="004B5C5B"/>
    <w:rsid w:val="004B607C"/>
    <w:rsid w:val="004B6C85"/>
    <w:rsid w:val="004B739E"/>
    <w:rsid w:val="004B7531"/>
    <w:rsid w:val="004B7DCA"/>
    <w:rsid w:val="004C1816"/>
    <w:rsid w:val="004C220B"/>
    <w:rsid w:val="004C233B"/>
    <w:rsid w:val="004C3030"/>
    <w:rsid w:val="004C3827"/>
    <w:rsid w:val="004C48FF"/>
    <w:rsid w:val="004D1D2C"/>
    <w:rsid w:val="004D31F7"/>
    <w:rsid w:val="004D484C"/>
    <w:rsid w:val="004D572C"/>
    <w:rsid w:val="004D5C17"/>
    <w:rsid w:val="004D6360"/>
    <w:rsid w:val="004D6D22"/>
    <w:rsid w:val="004D75D6"/>
    <w:rsid w:val="004E23DB"/>
    <w:rsid w:val="004E2D5D"/>
    <w:rsid w:val="004E3D39"/>
    <w:rsid w:val="004E4C6F"/>
    <w:rsid w:val="004E61CE"/>
    <w:rsid w:val="004E6B5F"/>
    <w:rsid w:val="004F1798"/>
    <w:rsid w:val="004F1E4D"/>
    <w:rsid w:val="004F3EDE"/>
    <w:rsid w:val="004F5745"/>
    <w:rsid w:val="004F790A"/>
    <w:rsid w:val="004F7E55"/>
    <w:rsid w:val="0050117D"/>
    <w:rsid w:val="00501430"/>
    <w:rsid w:val="00501B7F"/>
    <w:rsid w:val="00501E06"/>
    <w:rsid w:val="00502794"/>
    <w:rsid w:val="005032B2"/>
    <w:rsid w:val="00503371"/>
    <w:rsid w:val="005049D6"/>
    <w:rsid w:val="00504AF9"/>
    <w:rsid w:val="0050601C"/>
    <w:rsid w:val="00506893"/>
    <w:rsid w:val="00510815"/>
    <w:rsid w:val="005118E1"/>
    <w:rsid w:val="00512E65"/>
    <w:rsid w:val="00513E99"/>
    <w:rsid w:val="005144A1"/>
    <w:rsid w:val="005152AC"/>
    <w:rsid w:val="00517F4F"/>
    <w:rsid w:val="005202BA"/>
    <w:rsid w:val="00521527"/>
    <w:rsid w:val="005227E8"/>
    <w:rsid w:val="0052338E"/>
    <w:rsid w:val="00523CA1"/>
    <w:rsid w:val="00524285"/>
    <w:rsid w:val="00524C2B"/>
    <w:rsid w:val="00525A4C"/>
    <w:rsid w:val="00525A7B"/>
    <w:rsid w:val="005262EA"/>
    <w:rsid w:val="005271FF"/>
    <w:rsid w:val="005275CF"/>
    <w:rsid w:val="00531D4F"/>
    <w:rsid w:val="00531DF9"/>
    <w:rsid w:val="00533C95"/>
    <w:rsid w:val="00534D3C"/>
    <w:rsid w:val="0053507A"/>
    <w:rsid w:val="0053674E"/>
    <w:rsid w:val="00536852"/>
    <w:rsid w:val="00537B17"/>
    <w:rsid w:val="00540570"/>
    <w:rsid w:val="0054091E"/>
    <w:rsid w:val="005416B6"/>
    <w:rsid w:val="0054171F"/>
    <w:rsid w:val="00541A13"/>
    <w:rsid w:val="00541B5D"/>
    <w:rsid w:val="0054274E"/>
    <w:rsid w:val="00542BCB"/>
    <w:rsid w:val="00543BC9"/>
    <w:rsid w:val="00543CF0"/>
    <w:rsid w:val="00544BE8"/>
    <w:rsid w:val="00546704"/>
    <w:rsid w:val="0054764F"/>
    <w:rsid w:val="00550D96"/>
    <w:rsid w:val="005544D7"/>
    <w:rsid w:val="005545EB"/>
    <w:rsid w:val="0055511B"/>
    <w:rsid w:val="0055674B"/>
    <w:rsid w:val="0055710F"/>
    <w:rsid w:val="00557B26"/>
    <w:rsid w:val="005609D9"/>
    <w:rsid w:val="00561738"/>
    <w:rsid w:val="00562B90"/>
    <w:rsid w:val="0056326C"/>
    <w:rsid w:val="00563BF3"/>
    <w:rsid w:val="0056415D"/>
    <w:rsid w:val="005645CC"/>
    <w:rsid w:val="005645F4"/>
    <w:rsid w:val="00565492"/>
    <w:rsid w:val="00565553"/>
    <w:rsid w:val="005666BB"/>
    <w:rsid w:val="00566AF7"/>
    <w:rsid w:val="00566BBE"/>
    <w:rsid w:val="005700E3"/>
    <w:rsid w:val="00571651"/>
    <w:rsid w:val="0057478E"/>
    <w:rsid w:val="00575132"/>
    <w:rsid w:val="005751CB"/>
    <w:rsid w:val="00575624"/>
    <w:rsid w:val="00576981"/>
    <w:rsid w:val="00580C3B"/>
    <w:rsid w:val="005819F3"/>
    <w:rsid w:val="00583240"/>
    <w:rsid w:val="00583918"/>
    <w:rsid w:val="00583AB3"/>
    <w:rsid w:val="00583C07"/>
    <w:rsid w:val="00585F4F"/>
    <w:rsid w:val="00585F96"/>
    <w:rsid w:val="00586BC1"/>
    <w:rsid w:val="005901DB"/>
    <w:rsid w:val="005902CB"/>
    <w:rsid w:val="0059322F"/>
    <w:rsid w:val="00593516"/>
    <w:rsid w:val="00593905"/>
    <w:rsid w:val="00594522"/>
    <w:rsid w:val="00595861"/>
    <w:rsid w:val="005961D1"/>
    <w:rsid w:val="00596841"/>
    <w:rsid w:val="005A0759"/>
    <w:rsid w:val="005A1798"/>
    <w:rsid w:val="005A3EA9"/>
    <w:rsid w:val="005A45B7"/>
    <w:rsid w:val="005B04B0"/>
    <w:rsid w:val="005B06B5"/>
    <w:rsid w:val="005B0F06"/>
    <w:rsid w:val="005B19AC"/>
    <w:rsid w:val="005B1FEF"/>
    <w:rsid w:val="005B2093"/>
    <w:rsid w:val="005B48B4"/>
    <w:rsid w:val="005B6534"/>
    <w:rsid w:val="005B6A69"/>
    <w:rsid w:val="005B6E1C"/>
    <w:rsid w:val="005B71A4"/>
    <w:rsid w:val="005C07D3"/>
    <w:rsid w:val="005C1FE7"/>
    <w:rsid w:val="005C2332"/>
    <w:rsid w:val="005C3A52"/>
    <w:rsid w:val="005C3B53"/>
    <w:rsid w:val="005C6497"/>
    <w:rsid w:val="005C67AC"/>
    <w:rsid w:val="005C748D"/>
    <w:rsid w:val="005C7917"/>
    <w:rsid w:val="005D10CB"/>
    <w:rsid w:val="005D1A9D"/>
    <w:rsid w:val="005D1DD9"/>
    <w:rsid w:val="005D25C2"/>
    <w:rsid w:val="005D571A"/>
    <w:rsid w:val="005D5AA1"/>
    <w:rsid w:val="005D659E"/>
    <w:rsid w:val="005D679B"/>
    <w:rsid w:val="005D6BFE"/>
    <w:rsid w:val="005E23AB"/>
    <w:rsid w:val="005E2B4D"/>
    <w:rsid w:val="005E40B3"/>
    <w:rsid w:val="005E54FF"/>
    <w:rsid w:val="005E58E8"/>
    <w:rsid w:val="005E60AD"/>
    <w:rsid w:val="005E707D"/>
    <w:rsid w:val="005F167D"/>
    <w:rsid w:val="005F18EF"/>
    <w:rsid w:val="005F3583"/>
    <w:rsid w:val="005F3E34"/>
    <w:rsid w:val="005F466B"/>
    <w:rsid w:val="005F491A"/>
    <w:rsid w:val="005F6BC4"/>
    <w:rsid w:val="005F70ED"/>
    <w:rsid w:val="005F74FE"/>
    <w:rsid w:val="00600F5F"/>
    <w:rsid w:val="00601448"/>
    <w:rsid w:val="00601663"/>
    <w:rsid w:val="006026B4"/>
    <w:rsid w:val="00602D62"/>
    <w:rsid w:val="00602FB2"/>
    <w:rsid w:val="00604478"/>
    <w:rsid w:val="00604998"/>
    <w:rsid w:val="00604EAE"/>
    <w:rsid w:val="006060BD"/>
    <w:rsid w:val="006060F5"/>
    <w:rsid w:val="00606F4E"/>
    <w:rsid w:val="00607426"/>
    <w:rsid w:val="006109FB"/>
    <w:rsid w:val="00613B16"/>
    <w:rsid w:val="00613FE3"/>
    <w:rsid w:val="00614670"/>
    <w:rsid w:val="00614761"/>
    <w:rsid w:val="006147A8"/>
    <w:rsid w:val="00614AE5"/>
    <w:rsid w:val="006157EE"/>
    <w:rsid w:val="0061615E"/>
    <w:rsid w:val="00616E7D"/>
    <w:rsid w:val="00617203"/>
    <w:rsid w:val="00617F04"/>
    <w:rsid w:val="006201E1"/>
    <w:rsid w:val="0062028E"/>
    <w:rsid w:val="006210D1"/>
    <w:rsid w:val="006219AF"/>
    <w:rsid w:val="0062297A"/>
    <w:rsid w:val="006229B2"/>
    <w:rsid w:val="00622F33"/>
    <w:rsid w:val="00626300"/>
    <w:rsid w:val="00626512"/>
    <w:rsid w:val="00626B35"/>
    <w:rsid w:val="00627875"/>
    <w:rsid w:val="00630ADF"/>
    <w:rsid w:val="00631078"/>
    <w:rsid w:val="00632F83"/>
    <w:rsid w:val="006336DA"/>
    <w:rsid w:val="00633D96"/>
    <w:rsid w:val="00633F2D"/>
    <w:rsid w:val="006364D5"/>
    <w:rsid w:val="006365B3"/>
    <w:rsid w:val="0063672B"/>
    <w:rsid w:val="00637558"/>
    <w:rsid w:val="00637E92"/>
    <w:rsid w:val="006410FB"/>
    <w:rsid w:val="00641896"/>
    <w:rsid w:val="00644948"/>
    <w:rsid w:val="006466A2"/>
    <w:rsid w:val="006473FF"/>
    <w:rsid w:val="00647C28"/>
    <w:rsid w:val="00647E11"/>
    <w:rsid w:val="006519A6"/>
    <w:rsid w:val="00653D2F"/>
    <w:rsid w:val="00654454"/>
    <w:rsid w:val="00654FA0"/>
    <w:rsid w:val="00655260"/>
    <w:rsid w:val="00655663"/>
    <w:rsid w:val="00655979"/>
    <w:rsid w:val="00655AB8"/>
    <w:rsid w:val="00655FD0"/>
    <w:rsid w:val="0065684B"/>
    <w:rsid w:val="00656A1E"/>
    <w:rsid w:val="00656C66"/>
    <w:rsid w:val="006604E1"/>
    <w:rsid w:val="00660E73"/>
    <w:rsid w:val="00662196"/>
    <w:rsid w:val="0066280C"/>
    <w:rsid w:val="0066461F"/>
    <w:rsid w:val="0066689F"/>
    <w:rsid w:val="00666AC2"/>
    <w:rsid w:val="0066723C"/>
    <w:rsid w:val="00667C80"/>
    <w:rsid w:val="0067135C"/>
    <w:rsid w:val="00673E01"/>
    <w:rsid w:val="00674DBD"/>
    <w:rsid w:val="006755D6"/>
    <w:rsid w:val="0067643C"/>
    <w:rsid w:val="00676D89"/>
    <w:rsid w:val="00680480"/>
    <w:rsid w:val="0068156F"/>
    <w:rsid w:val="00681B88"/>
    <w:rsid w:val="00682C01"/>
    <w:rsid w:val="0068546B"/>
    <w:rsid w:val="006877CB"/>
    <w:rsid w:val="00691A04"/>
    <w:rsid w:val="00693BBF"/>
    <w:rsid w:val="00694000"/>
    <w:rsid w:val="006941AE"/>
    <w:rsid w:val="006952FE"/>
    <w:rsid w:val="00695A9F"/>
    <w:rsid w:val="006A0322"/>
    <w:rsid w:val="006A0BEA"/>
    <w:rsid w:val="006A1AEF"/>
    <w:rsid w:val="006A4D8A"/>
    <w:rsid w:val="006A6056"/>
    <w:rsid w:val="006A63FB"/>
    <w:rsid w:val="006A7431"/>
    <w:rsid w:val="006A7BB9"/>
    <w:rsid w:val="006B0D1D"/>
    <w:rsid w:val="006B0FFB"/>
    <w:rsid w:val="006B14EA"/>
    <w:rsid w:val="006B3ED7"/>
    <w:rsid w:val="006B4350"/>
    <w:rsid w:val="006B51D7"/>
    <w:rsid w:val="006B5445"/>
    <w:rsid w:val="006B71F7"/>
    <w:rsid w:val="006C04E7"/>
    <w:rsid w:val="006C0865"/>
    <w:rsid w:val="006C2EF7"/>
    <w:rsid w:val="006C4481"/>
    <w:rsid w:val="006C4BA6"/>
    <w:rsid w:val="006C56A7"/>
    <w:rsid w:val="006D01E0"/>
    <w:rsid w:val="006D027B"/>
    <w:rsid w:val="006D0979"/>
    <w:rsid w:val="006D143E"/>
    <w:rsid w:val="006D493F"/>
    <w:rsid w:val="006E0C9F"/>
    <w:rsid w:val="006E186E"/>
    <w:rsid w:val="006E1A60"/>
    <w:rsid w:val="006E2AAC"/>
    <w:rsid w:val="006E2C98"/>
    <w:rsid w:val="006E4958"/>
    <w:rsid w:val="006E4DA7"/>
    <w:rsid w:val="006E55E7"/>
    <w:rsid w:val="006E6395"/>
    <w:rsid w:val="006E63F1"/>
    <w:rsid w:val="006E6887"/>
    <w:rsid w:val="006E69BD"/>
    <w:rsid w:val="006E7718"/>
    <w:rsid w:val="006F1300"/>
    <w:rsid w:val="006F14B1"/>
    <w:rsid w:val="006F2781"/>
    <w:rsid w:val="006F3A96"/>
    <w:rsid w:val="006F58D6"/>
    <w:rsid w:val="007000C6"/>
    <w:rsid w:val="007002B6"/>
    <w:rsid w:val="00701960"/>
    <w:rsid w:val="007031C9"/>
    <w:rsid w:val="00703782"/>
    <w:rsid w:val="007045AC"/>
    <w:rsid w:val="00705835"/>
    <w:rsid w:val="007059C2"/>
    <w:rsid w:val="007063AF"/>
    <w:rsid w:val="00707B7E"/>
    <w:rsid w:val="00711E9B"/>
    <w:rsid w:val="00712A65"/>
    <w:rsid w:val="00713368"/>
    <w:rsid w:val="00715838"/>
    <w:rsid w:val="007160EC"/>
    <w:rsid w:val="00716166"/>
    <w:rsid w:val="007165CC"/>
    <w:rsid w:val="00716660"/>
    <w:rsid w:val="007172F4"/>
    <w:rsid w:val="00721A65"/>
    <w:rsid w:val="00722D0D"/>
    <w:rsid w:val="007233BE"/>
    <w:rsid w:val="007247E9"/>
    <w:rsid w:val="0072739B"/>
    <w:rsid w:val="0073043C"/>
    <w:rsid w:val="00730A26"/>
    <w:rsid w:val="00730FAF"/>
    <w:rsid w:val="00731040"/>
    <w:rsid w:val="0073159F"/>
    <w:rsid w:val="007334D6"/>
    <w:rsid w:val="0073371D"/>
    <w:rsid w:val="00735B97"/>
    <w:rsid w:val="00736745"/>
    <w:rsid w:val="00736761"/>
    <w:rsid w:val="00736A82"/>
    <w:rsid w:val="007401C0"/>
    <w:rsid w:val="007409B6"/>
    <w:rsid w:val="00740A66"/>
    <w:rsid w:val="00740EE9"/>
    <w:rsid w:val="007425DA"/>
    <w:rsid w:val="00746930"/>
    <w:rsid w:val="0075034A"/>
    <w:rsid w:val="007512AB"/>
    <w:rsid w:val="00752A3A"/>
    <w:rsid w:val="007537DC"/>
    <w:rsid w:val="00753FD5"/>
    <w:rsid w:val="007552F3"/>
    <w:rsid w:val="00755A28"/>
    <w:rsid w:val="00756F4B"/>
    <w:rsid w:val="007602C9"/>
    <w:rsid w:val="0076101D"/>
    <w:rsid w:val="0076129D"/>
    <w:rsid w:val="00761823"/>
    <w:rsid w:val="0076259E"/>
    <w:rsid w:val="00763211"/>
    <w:rsid w:val="007635BB"/>
    <w:rsid w:val="0076400E"/>
    <w:rsid w:val="00764120"/>
    <w:rsid w:val="007641B3"/>
    <w:rsid w:val="00764D7D"/>
    <w:rsid w:val="0076560A"/>
    <w:rsid w:val="00765AC8"/>
    <w:rsid w:val="00766C8F"/>
    <w:rsid w:val="00767CE4"/>
    <w:rsid w:val="00770337"/>
    <w:rsid w:val="0077086E"/>
    <w:rsid w:val="007729B3"/>
    <w:rsid w:val="007734AB"/>
    <w:rsid w:val="00773A2D"/>
    <w:rsid w:val="00773C18"/>
    <w:rsid w:val="00774111"/>
    <w:rsid w:val="0077498D"/>
    <w:rsid w:val="007824EF"/>
    <w:rsid w:val="0078285F"/>
    <w:rsid w:val="00783B60"/>
    <w:rsid w:val="00783E4C"/>
    <w:rsid w:val="0078454E"/>
    <w:rsid w:val="00784BEE"/>
    <w:rsid w:val="00784C90"/>
    <w:rsid w:val="007862EB"/>
    <w:rsid w:val="007868ED"/>
    <w:rsid w:val="00793C7E"/>
    <w:rsid w:val="007951F6"/>
    <w:rsid w:val="00795D5B"/>
    <w:rsid w:val="00796D69"/>
    <w:rsid w:val="007A0320"/>
    <w:rsid w:val="007A0C26"/>
    <w:rsid w:val="007A30D4"/>
    <w:rsid w:val="007A4AF3"/>
    <w:rsid w:val="007A5AD1"/>
    <w:rsid w:val="007A6632"/>
    <w:rsid w:val="007A7451"/>
    <w:rsid w:val="007B05FA"/>
    <w:rsid w:val="007B0792"/>
    <w:rsid w:val="007B59BC"/>
    <w:rsid w:val="007B63F1"/>
    <w:rsid w:val="007B65E1"/>
    <w:rsid w:val="007B6BF8"/>
    <w:rsid w:val="007B6F11"/>
    <w:rsid w:val="007B7823"/>
    <w:rsid w:val="007B7D79"/>
    <w:rsid w:val="007C07C3"/>
    <w:rsid w:val="007C119A"/>
    <w:rsid w:val="007C2CC1"/>
    <w:rsid w:val="007C327D"/>
    <w:rsid w:val="007C586A"/>
    <w:rsid w:val="007C68E6"/>
    <w:rsid w:val="007C74B5"/>
    <w:rsid w:val="007C78E3"/>
    <w:rsid w:val="007D197D"/>
    <w:rsid w:val="007D37CE"/>
    <w:rsid w:val="007D3B8F"/>
    <w:rsid w:val="007D4739"/>
    <w:rsid w:val="007D48E5"/>
    <w:rsid w:val="007D61D4"/>
    <w:rsid w:val="007D675E"/>
    <w:rsid w:val="007E0050"/>
    <w:rsid w:val="007E10E1"/>
    <w:rsid w:val="007E1F29"/>
    <w:rsid w:val="007E6171"/>
    <w:rsid w:val="007F1082"/>
    <w:rsid w:val="007F469F"/>
    <w:rsid w:val="007F4F07"/>
    <w:rsid w:val="007F5344"/>
    <w:rsid w:val="007F79C6"/>
    <w:rsid w:val="008004FC"/>
    <w:rsid w:val="00800A00"/>
    <w:rsid w:val="00800DF5"/>
    <w:rsid w:val="00801A49"/>
    <w:rsid w:val="00802125"/>
    <w:rsid w:val="00802273"/>
    <w:rsid w:val="0080308B"/>
    <w:rsid w:val="00804802"/>
    <w:rsid w:val="00804E29"/>
    <w:rsid w:val="00804E86"/>
    <w:rsid w:val="0080526C"/>
    <w:rsid w:val="00806E00"/>
    <w:rsid w:val="00807E24"/>
    <w:rsid w:val="0081058A"/>
    <w:rsid w:val="008105C0"/>
    <w:rsid w:val="008107EE"/>
    <w:rsid w:val="00812518"/>
    <w:rsid w:val="0081260B"/>
    <w:rsid w:val="00813793"/>
    <w:rsid w:val="008141EC"/>
    <w:rsid w:val="0081529C"/>
    <w:rsid w:val="008165F5"/>
    <w:rsid w:val="008207F8"/>
    <w:rsid w:val="00821346"/>
    <w:rsid w:val="00823C14"/>
    <w:rsid w:val="008244D2"/>
    <w:rsid w:val="00825ADA"/>
    <w:rsid w:val="00825DCF"/>
    <w:rsid w:val="00825F68"/>
    <w:rsid w:val="0083143A"/>
    <w:rsid w:val="00832D6D"/>
    <w:rsid w:val="0083455B"/>
    <w:rsid w:val="00834DD2"/>
    <w:rsid w:val="00835A9C"/>
    <w:rsid w:val="00841066"/>
    <w:rsid w:val="00843260"/>
    <w:rsid w:val="0084365A"/>
    <w:rsid w:val="00843FFF"/>
    <w:rsid w:val="00847A7F"/>
    <w:rsid w:val="00850466"/>
    <w:rsid w:val="0085161D"/>
    <w:rsid w:val="008521AC"/>
    <w:rsid w:val="00852593"/>
    <w:rsid w:val="008526A8"/>
    <w:rsid w:val="00861636"/>
    <w:rsid w:val="008628AE"/>
    <w:rsid w:val="008630E5"/>
    <w:rsid w:val="00863A37"/>
    <w:rsid w:val="00863C69"/>
    <w:rsid w:val="008651D7"/>
    <w:rsid w:val="00865694"/>
    <w:rsid w:val="00866198"/>
    <w:rsid w:val="00867A99"/>
    <w:rsid w:val="008704B1"/>
    <w:rsid w:val="00871B8C"/>
    <w:rsid w:val="00872B55"/>
    <w:rsid w:val="008736AF"/>
    <w:rsid w:val="00873F46"/>
    <w:rsid w:val="00874DAE"/>
    <w:rsid w:val="008755C1"/>
    <w:rsid w:val="00875855"/>
    <w:rsid w:val="0087721B"/>
    <w:rsid w:val="00881338"/>
    <w:rsid w:val="00881586"/>
    <w:rsid w:val="008836A7"/>
    <w:rsid w:val="00883C8E"/>
    <w:rsid w:val="00887EDF"/>
    <w:rsid w:val="00890425"/>
    <w:rsid w:val="0089164E"/>
    <w:rsid w:val="00891A85"/>
    <w:rsid w:val="00892A43"/>
    <w:rsid w:val="008957F7"/>
    <w:rsid w:val="008A034D"/>
    <w:rsid w:val="008A1568"/>
    <w:rsid w:val="008A2119"/>
    <w:rsid w:val="008A2908"/>
    <w:rsid w:val="008A3C01"/>
    <w:rsid w:val="008A5C39"/>
    <w:rsid w:val="008B099A"/>
    <w:rsid w:val="008B1BA8"/>
    <w:rsid w:val="008B1EB9"/>
    <w:rsid w:val="008B21D3"/>
    <w:rsid w:val="008B356C"/>
    <w:rsid w:val="008B3A72"/>
    <w:rsid w:val="008B4251"/>
    <w:rsid w:val="008B552F"/>
    <w:rsid w:val="008B64A8"/>
    <w:rsid w:val="008C0008"/>
    <w:rsid w:val="008C0673"/>
    <w:rsid w:val="008C0740"/>
    <w:rsid w:val="008C130F"/>
    <w:rsid w:val="008C1C65"/>
    <w:rsid w:val="008C20D2"/>
    <w:rsid w:val="008C2B03"/>
    <w:rsid w:val="008C5028"/>
    <w:rsid w:val="008C5537"/>
    <w:rsid w:val="008C5E1E"/>
    <w:rsid w:val="008C644E"/>
    <w:rsid w:val="008C676B"/>
    <w:rsid w:val="008C7636"/>
    <w:rsid w:val="008D0584"/>
    <w:rsid w:val="008D3A08"/>
    <w:rsid w:val="008D540D"/>
    <w:rsid w:val="008D725A"/>
    <w:rsid w:val="008E0292"/>
    <w:rsid w:val="008E13A8"/>
    <w:rsid w:val="008E3162"/>
    <w:rsid w:val="008E3577"/>
    <w:rsid w:val="008E3E9D"/>
    <w:rsid w:val="008E3EC8"/>
    <w:rsid w:val="008E4844"/>
    <w:rsid w:val="008E4DDD"/>
    <w:rsid w:val="008E50C2"/>
    <w:rsid w:val="008E59C8"/>
    <w:rsid w:val="008E5D00"/>
    <w:rsid w:val="008E608D"/>
    <w:rsid w:val="008E668D"/>
    <w:rsid w:val="008E7BF9"/>
    <w:rsid w:val="008F1C1B"/>
    <w:rsid w:val="008F2D7F"/>
    <w:rsid w:val="008F35B6"/>
    <w:rsid w:val="008F3FAD"/>
    <w:rsid w:val="008F489A"/>
    <w:rsid w:val="008F5328"/>
    <w:rsid w:val="008F647B"/>
    <w:rsid w:val="00900345"/>
    <w:rsid w:val="009008F3"/>
    <w:rsid w:val="00901948"/>
    <w:rsid w:val="00903F21"/>
    <w:rsid w:val="009041C3"/>
    <w:rsid w:val="009043AE"/>
    <w:rsid w:val="0090513C"/>
    <w:rsid w:val="00905434"/>
    <w:rsid w:val="009060E8"/>
    <w:rsid w:val="00910B77"/>
    <w:rsid w:val="009139A0"/>
    <w:rsid w:val="00913B5C"/>
    <w:rsid w:val="0091493E"/>
    <w:rsid w:val="00915552"/>
    <w:rsid w:val="00916852"/>
    <w:rsid w:val="009176C1"/>
    <w:rsid w:val="0092014D"/>
    <w:rsid w:val="0092097B"/>
    <w:rsid w:val="0092185C"/>
    <w:rsid w:val="00921DCC"/>
    <w:rsid w:val="00923026"/>
    <w:rsid w:val="00923849"/>
    <w:rsid w:val="009253D7"/>
    <w:rsid w:val="009273D9"/>
    <w:rsid w:val="00936A25"/>
    <w:rsid w:val="00940331"/>
    <w:rsid w:val="00940645"/>
    <w:rsid w:val="00940B3C"/>
    <w:rsid w:val="00941FCD"/>
    <w:rsid w:val="00942E94"/>
    <w:rsid w:val="009454CE"/>
    <w:rsid w:val="00945BF4"/>
    <w:rsid w:val="009473D4"/>
    <w:rsid w:val="00951BB1"/>
    <w:rsid w:val="0095252F"/>
    <w:rsid w:val="00953054"/>
    <w:rsid w:val="00953207"/>
    <w:rsid w:val="009533EC"/>
    <w:rsid w:val="00953E38"/>
    <w:rsid w:val="00954E0D"/>
    <w:rsid w:val="00956177"/>
    <w:rsid w:val="00956253"/>
    <w:rsid w:val="00956DA0"/>
    <w:rsid w:val="009573D1"/>
    <w:rsid w:val="00957EF6"/>
    <w:rsid w:val="00962B07"/>
    <w:rsid w:val="0096390C"/>
    <w:rsid w:val="0096451F"/>
    <w:rsid w:val="009651C2"/>
    <w:rsid w:val="009656CE"/>
    <w:rsid w:val="00965E25"/>
    <w:rsid w:val="0096637E"/>
    <w:rsid w:val="00966B07"/>
    <w:rsid w:val="00966FEE"/>
    <w:rsid w:val="00970A50"/>
    <w:rsid w:val="00971D0A"/>
    <w:rsid w:val="009728FA"/>
    <w:rsid w:val="00972C5B"/>
    <w:rsid w:val="00972DCC"/>
    <w:rsid w:val="00975FBA"/>
    <w:rsid w:val="00976DE4"/>
    <w:rsid w:val="0098064F"/>
    <w:rsid w:val="00980C29"/>
    <w:rsid w:val="00981208"/>
    <w:rsid w:val="009836C9"/>
    <w:rsid w:val="00983EEF"/>
    <w:rsid w:val="009857CB"/>
    <w:rsid w:val="00985C60"/>
    <w:rsid w:val="0098692B"/>
    <w:rsid w:val="00990A34"/>
    <w:rsid w:val="00990C85"/>
    <w:rsid w:val="00991A5A"/>
    <w:rsid w:val="00991C62"/>
    <w:rsid w:val="00991EA4"/>
    <w:rsid w:val="009922BD"/>
    <w:rsid w:val="009938CB"/>
    <w:rsid w:val="00994E9F"/>
    <w:rsid w:val="00994F85"/>
    <w:rsid w:val="009961EA"/>
    <w:rsid w:val="00997A4A"/>
    <w:rsid w:val="009A0F33"/>
    <w:rsid w:val="009A1947"/>
    <w:rsid w:val="009A28D8"/>
    <w:rsid w:val="009A2D05"/>
    <w:rsid w:val="009A30B1"/>
    <w:rsid w:val="009A32A2"/>
    <w:rsid w:val="009A4538"/>
    <w:rsid w:val="009A479A"/>
    <w:rsid w:val="009A6A63"/>
    <w:rsid w:val="009B1BFB"/>
    <w:rsid w:val="009B2835"/>
    <w:rsid w:val="009B5144"/>
    <w:rsid w:val="009B52F8"/>
    <w:rsid w:val="009B6808"/>
    <w:rsid w:val="009B6C96"/>
    <w:rsid w:val="009C244A"/>
    <w:rsid w:val="009C45C3"/>
    <w:rsid w:val="009C5703"/>
    <w:rsid w:val="009C7172"/>
    <w:rsid w:val="009C7364"/>
    <w:rsid w:val="009C7A57"/>
    <w:rsid w:val="009D052D"/>
    <w:rsid w:val="009D0EB2"/>
    <w:rsid w:val="009D102E"/>
    <w:rsid w:val="009D14A9"/>
    <w:rsid w:val="009D19C7"/>
    <w:rsid w:val="009D1DEE"/>
    <w:rsid w:val="009D23FD"/>
    <w:rsid w:val="009D2E6A"/>
    <w:rsid w:val="009D48DD"/>
    <w:rsid w:val="009D54AE"/>
    <w:rsid w:val="009D5BE4"/>
    <w:rsid w:val="009E17E3"/>
    <w:rsid w:val="009E1FAD"/>
    <w:rsid w:val="009E3E96"/>
    <w:rsid w:val="009E3F03"/>
    <w:rsid w:val="009E439F"/>
    <w:rsid w:val="009E4523"/>
    <w:rsid w:val="009E6AD6"/>
    <w:rsid w:val="009F16CA"/>
    <w:rsid w:val="009F2A59"/>
    <w:rsid w:val="009F4124"/>
    <w:rsid w:val="009F4912"/>
    <w:rsid w:val="009F6A46"/>
    <w:rsid w:val="009F7B6E"/>
    <w:rsid w:val="00A01DE1"/>
    <w:rsid w:val="00A03093"/>
    <w:rsid w:val="00A03361"/>
    <w:rsid w:val="00A03977"/>
    <w:rsid w:val="00A0475A"/>
    <w:rsid w:val="00A05E73"/>
    <w:rsid w:val="00A14345"/>
    <w:rsid w:val="00A2001A"/>
    <w:rsid w:val="00A2175A"/>
    <w:rsid w:val="00A2308F"/>
    <w:rsid w:val="00A233E8"/>
    <w:rsid w:val="00A24719"/>
    <w:rsid w:val="00A260F7"/>
    <w:rsid w:val="00A271FE"/>
    <w:rsid w:val="00A27C91"/>
    <w:rsid w:val="00A27FF7"/>
    <w:rsid w:val="00A30171"/>
    <w:rsid w:val="00A30BC5"/>
    <w:rsid w:val="00A318A4"/>
    <w:rsid w:val="00A32B03"/>
    <w:rsid w:val="00A34BEC"/>
    <w:rsid w:val="00A35717"/>
    <w:rsid w:val="00A35923"/>
    <w:rsid w:val="00A36AE2"/>
    <w:rsid w:val="00A37259"/>
    <w:rsid w:val="00A41448"/>
    <w:rsid w:val="00A41CA6"/>
    <w:rsid w:val="00A430DD"/>
    <w:rsid w:val="00A44768"/>
    <w:rsid w:val="00A4594B"/>
    <w:rsid w:val="00A45CBB"/>
    <w:rsid w:val="00A4664B"/>
    <w:rsid w:val="00A466CA"/>
    <w:rsid w:val="00A4689D"/>
    <w:rsid w:val="00A47BB5"/>
    <w:rsid w:val="00A51440"/>
    <w:rsid w:val="00A517F1"/>
    <w:rsid w:val="00A5348A"/>
    <w:rsid w:val="00A54935"/>
    <w:rsid w:val="00A55F03"/>
    <w:rsid w:val="00A5787D"/>
    <w:rsid w:val="00A57B5E"/>
    <w:rsid w:val="00A6002C"/>
    <w:rsid w:val="00A60C52"/>
    <w:rsid w:val="00A61B94"/>
    <w:rsid w:val="00A631B2"/>
    <w:rsid w:val="00A678A8"/>
    <w:rsid w:val="00A67D7C"/>
    <w:rsid w:val="00A70049"/>
    <w:rsid w:val="00A71B76"/>
    <w:rsid w:val="00A7268B"/>
    <w:rsid w:val="00A726CC"/>
    <w:rsid w:val="00A74240"/>
    <w:rsid w:val="00A75133"/>
    <w:rsid w:val="00A75911"/>
    <w:rsid w:val="00A7688B"/>
    <w:rsid w:val="00A818F1"/>
    <w:rsid w:val="00A820DD"/>
    <w:rsid w:val="00A826FA"/>
    <w:rsid w:val="00A82717"/>
    <w:rsid w:val="00A83AB7"/>
    <w:rsid w:val="00A8498C"/>
    <w:rsid w:val="00A863FB"/>
    <w:rsid w:val="00A90421"/>
    <w:rsid w:val="00A90478"/>
    <w:rsid w:val="00A910B7"/>
    <w:rsid w:val="00A914C1"/>
    <w:rsid w:val="00A933D0"/>
    <w:rsid w:val="00A94E88"/>
    <w:rsid w:val="00A96C2E"/>
    <w:rsid w:val="00A9710C"/>
    <w:rsid w:val="00A97CE1"/>
    <w:rsid w:val="00AA0FD4"/>
    <w:rsid w:val="00AA1DE2"/>
    <w:rsid w:val="00AA5FEB"/>
    <w:rsid w:val="00AA66D6"/>
    <w:rsid w:val="00AB1E3B"/>
    <w:rsid w:val="00AB236E"/>
    <w:rsid w:val="00AB2395"/>
    <w:rsid w:val="00AB27ED"/>
    <w:rsid w:val="00AB38A1"/>
    <w:rsid w:val="00AB38ED"/>
    <w:rsid w:val="00AB4A15"/>
    <w:rsid w:val="00AB4DF9"/>
    <w:rsid w:val="00AB7194"/>
    <w:rsid w:val="00AB7267"/>
    <w:rsid w:val="00AB7CBE"/>
    <w:rsid w:val="00AC29B2"/>
    <w:rsid w:val="00AC4B59"/>
    <w:rsid w:val="00AC66FD"/>
    <w:rsid w:val="00AC6AD7"/>
    <w:rsid w:val="00AC7CE9"/>
    <w:rsid w:val="00AD0D1D"/>
    <w:rsid w:val="00AD1260"/>
    <w:rsid w:val="00AD1EA3"/>
    <w:rsid w:val="00AD2054"/>
    <w:rsid w:val="00AD3513"/>
    <w:rsid w:val="00AD3B1B"/>
    <w:rsid w:val="00AD3B76"/>
    <w:rsid w:val="00AD4F17"/>
    <w:rsid w:val="00AD705A"/>
    <w:rsid w:val="00AD7755"/>
    <w:rsid w:val="00AD79C6"/>
    <w:rsid w:val="00AE12AF"/>
    <w:rsid w:val="00AE17AD"/>
    <w:rsid w:val="00AE1FE9"/>
    <w:rsid w:val="00AE26BB"/>
    <w:rsid w:val="00AE2E9B"/>
    <w:rsid w:val="00AE38BA"/>
    <w:rsid w:val="00AE4220"/>
    <w:rsid w:val="00AE64D4"/>
    <w:rsid w:val="00AE7188"/>
    <w:rsid w:val="00AE740D"/>
    <w:rsid w:val="00AF37D2"/>
    <w:rsid w:val="00AF425D"/>
    <w:rsid w:val="00AF4492"/>
    <w:rsid w:val="00AF6F14"/>
    <w:rsid w:val="00AF7E4D"/>
    <w:rsid w:val="00AF7F5F"/>
    <w:rsid w:val="00B00216"/>
    <w:rsid w:val="00B00A51"/>
    <w:rsid w:val="00B02273"/>
    <w:rsid w:val="00B02B0A"/>
    <w:rsid w:val="00B06664"/>
    <w:rsid w:val="00B06F65"/>
    <w:rsid w:val="00B076FB"/>
    <w:rsid w:val="00B104FE"/>
    <w:rsid w:val="00B122C4"/>
    <w:rsid w:val="00B12B9B"/>
    <w:rsid w:val="00B13021"/>
    <w:rsid w:val="00B13BC6"/>
    <w:rsid w:val="00B14A57"/>
    <w:rsid w:val="00B15B92"/>
    <w:rsid w:val="00B166C6"/>
    <w:rsid w:val="00B16807"/>
    <w:rsid w:val="00B1699C"/>
    <w:rsid w:val="00B17095"/>
    <w:rsid w:val="00B173F9"/>
    <w:rsid w:val="00B176BE"/>
    <w:rsid w:val="00B179AC"/>
    <w:rsid w:val="00B20607"/>
    <w:rsid w:val="00B2081F"/>
    <w:rsid w:val="00B21EB5"/>
    <w:rsid w:val="00B24126"/>
    <w:rsid w:val="00B2535D"/>
    <w:rsid w:val="00B26661"/>
    <w:rsid w:val="00B2671A"/>
    <w:rsid w:val="00B277E9"/>
    <w:rsid w:val="00B27806"/>
    <w:rsid w:val="00B32918"/>
    <w:rsid w:val="00B33DA3"/>
    <w:rsid w:val="00B34BCB"/>
    <w:rsid w:val="00B35F4A"/>
    <w:rsid w:val="00B36EBC"/>
    <w:rsid w:val="00B402C8"/>
    <w:rsid w:val="00B40A35"/>
    <w:rsid w:val="00B41641"/>
    <w:rsid w:val="00B41BBF"/>
    <w:rsid w:val="00B41E9D"/>
    <w:rsid w:val="00B42469"/>
    <w:rsid w:val="00B42BBD"/>
    <w:rsid w:val="00B43793"/>
    <w:rsid w:val="00B43DF1"/>
    <w:rsid w:val="00B47068"/>
    <w:rsid w:val="00B471E6"/>
    <w:rsid w:val="00B50779"/>
    <w:rsid w:val="00B5179E"/>
    <w:rsid w:val="00B525C1"/>
    <w:rsid w:val="00B52814"/>
    <w:rsid w:val="00B5283D"/>
    <w:rsid w:val="00B53B04"/>
    <w:rsid w:val="00B54820"/>
    <w:rsid w:val="00B55163"/>
    <w:rsid w:val="00B56DA7"/>
    <w:rsid w:val="00B5798E"/>
    <w:rsid w:val="00B57B84"/>
    <w:rsid w:val="00B6071B"/>
    <w:rsid w:val="00B613DF"/>
    <w:rsid w:val="00B647B2"/>
    <w:rsid w:val="00B65B59"/>
    <w:rsid w:val="00B65F8A"/>
    <w:rsid w:val="00B665F5"/>
    <w:rsid w:val="00B66C39"/>
    <w:rsid w:val="00B66F7D"/>
    <w:rsid w:val="00B707AC"/>
    <w:rsid w:val="00B70F33"/>
    <w:rsid w:val="00B715F7"/>
    <w:rsid w:val="00B71650"/>
    <w:rsid w:val="00B71B8A"/>
    <w:rsid w:val="00B747F5"/>
    <w:rsid w:val="00B7514E"/>
    <w:rsid w:val="00B7518E"/>
    <w:rsid w:val="00B8037C"/>
    <w:rsid w:val="00B85811"/>
    <w:rsid w:val="00B864E3"/>
    <w:rsid w:val="00B86612"/>
    <w:rsid w:val="00B9044A"/>
    <w:rsid w:val="00B91E63"/>
    <w:rsid w:val="00B9310F"/>
    <w:rsid w:val="00B95846"/>
    <w:rsid w:val="00B95CA9"/>
    <w:rsid w:val="00B97789"/>
    <w:rsid w:val="00BA0189"/>
    <w:rsid w:val="00BA143B"/>
    <w:rsid w:val="00BA1C81"/>
    <w:rsid w:val="00BA1E37"/>
    <w:rsid w:val="00BA3F35"/>
    <w:rsid w:val="00BA4923"/>
    <w:rsid w:val="00BB1BE1"/>
    <w:rsid w:val="00BB1FBE"/>
    <w:rsid w:val="00BB20B6"/>
    <w:rsid w:val="00BB4C98"/>
    <w:rsid w:val="00BB5656"/>
    <w:rsid w:val="00BB77B2"/>
    <w:rsid w:val="00BC063B"/>
    <w:rsid w:val="00BC251B"/>
    <w:rsid w:val="00BC27BB"/>
    <w:rsid w:val="00BC3BD7"/>
    <w:rsid w:val="00BC4704"/>
    <w:rsid w:val="00BC6A75"/>
    <w:rsid w:val="00BD0A57"/>
    <w:rsid w:val="00BD1A8C"/>
    <w:rsid w:val="00BD2937"/>
    <w:rsid w:val="00BD4458"/>
    <w:rsid w:val="00BD4BE0"/>
    <w:rsid w:val="00BD4BF5"/>
    <w:rsid w:val="00BD4EDC"/>
    <w:rsid w:val="00BD5FFB"/>
    <w:rsid w:val="00BD6DBF"/>
    <w:rsid w:val="00BD7623"/>
    <w:rsid w:val="00BE01B7"/>
    <w:rsid w:val="00BE0A21"/>
    <w:rsid w:val="00BE0C0C"/>
    <w:rsid w:val="00BE0D62"/>
    <w:rsid w:val="00BE1A65"/>
    <w:rsid w:val="00BE2360"/>
    <w:rsid w:val="00BE2652"/>
    <w:rsid w:val="00BE3AA1"/>
    <w:rsid w:val="00BE3C04"/>
    <w:rsid w:val="00BE51CB"/>
    <w:rsid w:val="00BE598C"/>
    <w:rsid w:val="00BE5B44"/>
    <w:rsid w:val="00BF0104"/>
    <w:rsid w:val="00BF012D"/>
    <w:rsid w:val="00BF0447"/>
    <w:rsid w:val="00BF1320"/>
    <w:rsid w:val="00BF13DD"/>
    <w:rsid w:val="00BF3A3A"/>
    <w:rsid w:val="00BF41EB"/>
    <w:rsid w:val="00BF4438"/>
    <w:rsid w:val="00BF4A22"/>
    <w:rsid w:val="00BF4F9D"/>
    <w:rsid w:val="00BF7D1B"/>
    <w:rsid w:val="00C00744"/>
    <w:rsid w:val="00C01876"/>
    <w:rsid w:val="00C01BEF"/>
    <w:rsid w:val="00C0219C"/>
    <w:rsid w:val="00C02A5A"/>
    <w:rsid w:val="00C0327C"/>
    <w:rsid w:val="00C03C76"/>
    <w:rsid w:val="00C052DA"/>
    <w:rsid w:val="00C05D27"/>
    <w:rsid w:val="00C06EE4"/>
    <w:rsid w:val="00C06FFE"/>
    <w:rsid w:val="00C07617"/>
    <w:rsid w:val="00C11CC4"/>
    <w:rsid w:val="00C129FB"/>
    <w:rsid w:val="00C12F73"/>
    <w:rsid w:val="00C13426"/>
    <w:rsid w:val="00C13700"/>
    <w:rsid w:val="00C14BAE"/>
    <w:rsid w:val="00C14CB0"/>
    <w:rsid w:val="00C14D81"/>
    <w:rsid w:val="00C14E75"/>
    <w:rsid w:val="00C15A24"/>
    <w:rsid w:val="00C15E69"/>
    <w:rsid w:val="00C16920"/>
    <w:rsid w:val="00C17710"/>
    <w:rsid w:val="00C17AE8"/>
    <w:rsid w:val="00C22A57"/>
    <w:rsid w:val="00C22F39"/>
    <w:rsid w:val="00C25BE6"/>
    <w:rsid w:val="00C27290"/>
    <w:rsid w:val="00C31964"/>
    <w:rsid w:val="00C32B91"/>
    <w:rsid w:val="00C32BC3"/>
    <w:rsid w:val="00C338C7"/>
    <w:rsid w:val="00C346CE"/>
    <w:rsid w:val="00C355FF"/>
    <w:rsid w:val="00C35CBF"/>
    <w:rsid w:val="00C35D90"/>
    <w:rsid w:val="00C36FAB"/>
    <w:rsid w:val="00C36FF2"/>
    <w:rsid w:val="00C4001C"/>
    <w:rsid w:val="00C40EF0"/>
    <w:rsid w:val="00C41204"/>
    <w:rsid w:val="00C42EDF"/>
    <w:rsid w:val="00C42FD9"/>
    <w:rsid w:val="00C44183"/>
    <w:rsid w:val="00C4724A"/>
    <w:rsid w:val="00C47924"/>
    <w:rsid w:val="00C47A17"/>
    <w:rsid w:val="00C504B7"/>
    <w:rsid w:val="00C5082E"/>
    <w:rsid w:val="00C51DBF"/>
    <w:rsid w:val="00C53004"/>
    <w:rsid w:val="00C5480D"/>
    <w:rsid w:val="00C60378"/>
    <w:rsid w:val="00C61853"/>
    <w:rsid w:val="00C62BBF"/>
    <w:rsid w:val="00C634F6"/>
    <w:rsid w:val="00C63FCB"/>
    <w:rsid w:val="00C644B9"/>
    <w:rsid w:val="00C64829"/>
    <w:rsid w:val="00C64B5F"/>
    <w:rsid w:val="00C64D27"/>
    <w:rsid w:val="00C65944"/>
    <w:rsid w:val="00C70DC4"/>
    <w:rsid w:val="00C7148F"/>
    <w:rsid w:val="00C71759"/>
    <w:rsid w:val="00C71BBB"/>
    <w:rsid w:val="00C74925"/>
    <w:rsid w:val="00C76FBB"/>
    <w:rsid w:val="00C77645"/>
    <w:rsid w:val="00C802DB"/>
    <w:rsid w:val="00C82353"/>
    <w:rsid w:val="00C842D1"/>
    <w:rsid w:val="00C84501"/>
    <w:rsid w:val="00C84539"/>
    <w:rsid w:val="00C87F6A"/>
    <w:rsid w:val="00C90319"/>
    <w:rsid w:val="00C907D1"/>
    <w:rsid w:val="00C90B82"/>
    <w:rsid w:val="00C915DA"/>
    <w:rsid w:val="00C919D4"/>
    <w:rsid w:val="00C920AC"/>
    <w:rsid w:val="00C932C7"/>
    <w:rsid w:val="00C93321"/>
    <w:rsid w:val="00C94067"/>
    <w:rsid w:val="00C942FF"/>
    <w:rsid w:val="00CA41DD"/>
    <w:rsid w:val="00CA6467"/>
    <w:rsid w:val="00CB033B"/>
    <w:rsid w:val="00CB0779"/>
    <w:rsid w:val="00CB2077"/>
    <w:rsid w:val="00CB2749"/>
    <w:rsid w:val="00CB31ED"/>
    <w:rsid w:val="00CB45D2"/>
    <w:rsid w:val="00CB476B"/>
    <w:rsid w:val="00CB6F15"/>
    <w:rsid w:val="00CB7399"/>
    <w:rsid w:val="00CB7465"/>
    <w:rsid w:val="00CC0B72"/>
    <w:rsid w:val="00CC0E3E"/>
    <w:rsid w:val="00CC193D"/>
    <w:rsid w:val="00CC1D01"/>
    <w:rsid w:val="00CC3139"/>
    <w:rsid w:val="00CC5188"/>
    <w:rsid w:val="00CC660E"/>
    <w:rsid w:val="00CC73F7"/>
    <w:rsid w:val="00CD1B89"/>
    <w:rsid w:val="00CD3C7E"/>
    <w:rsid w:val="00CD48FA"/>
    <w:rsid w:val="00CD6D38"/>
    <w:rsid w:val="00CD723E"/>
    <w:rsid w:val="00CE0159"/>
    <w:rsid w:val="00CE0FDF"/>
    <w:rsid w:val="00CE34A5"/>
    <w:rsid w:val="00CE3F7E"/>
    <w:rsid w:val="00CE4427"/>
    <w:rsid w:val="00CE560E"/>
    <w:rsid w:val="00CE6011"/>
    <w:rsid w:val="00CE7057"/>
    <w:rsid w:val="00CE7500"/>
    <w:rsid w:val="00CE790E"/>
    <w:rsid w:val="00CF1C85"/>
    <w:rsid w:val="00CF1DDC"/>
    <w:rsid w:val="00CF406E"/>
    <w:rsid w:val="00CF70BE"/>
    <w:rsid w:val="00CF76A3"/>
    <w:rsid w:val="00D00012"/>
    <w:rsid w:val="00D0092A"/>
    <w:rsid w:val="00D00FA9"/>
    <w:rsid w:val="00D01055"/>
    <w:rsid w:val="00D04257"/>
    <w:rsid w:val="00D04B50"/>
    <w:rsid w:val="00D04FC6"/>
    <w:rsid w:val="00D0634C"/>
    <w:rsid w:val="00D073E1"/>
    <w:rsid w:val="00D07F20"/>
    <w:rsid w:val="00D103DB"/>
    <w:rsid w:val="00D10827"/>
    <w:rsid w:val="00D115A1"/>
    <w:rsid w:val="00D1255E"/>
    <w:rsid w:val="00D141D3"/>
    <w:rsid w:val="00D14D0D"/>
    <w:rsid w:val="00D224AE"/>
    <w:rsid w:val="00D2584F"/>
    <w:rsid w:val="00D259B9"/>
    <w:rsid w:val="00D268AE"/>
    <w:rsid w:val="00D27E1B"/>
    <w:rsid w:val="00D30A90"/>
    <w:rsid w:val="00D32A60"/>
    <w:rsid w:val="00D332C8"/>
    <w:rsid w:val="00D35793"/>
    <w:rsid w:val="00D35FCE"/>
    <w:rsid w:val="00D366CA"/>
    <w:rsid w:val="00D36A85"/>
    <w:rsid w:val="00D37734"/>
    <w:rsid w:val="00D40568"/>
    <w:rsid w:val="00D44282"/>
    <w:rsid w:val="00D45EDF"/>
    <w:rsid w:val="00D46DB9"/>
    <w:rsid w:val="00D50736"/>
    <w:rsid w:val="00D5101D"/>
    <w:rsid w:val="00D5198C"/>
    <w:rsid w:val="00D52DB4"/>
    <w:rsid w:val="00D533DC"/>
    <w:rsid w:val="00D55BF6"/>
    <w:rsid w:val="00D561D8"/>
    <w:rsid w:val="00D57613"/>
    <w:rsid w:val="00D5795C"/>
    <w:rsid w:val="00D6066D"/>
    <w:rsid w:val="00D60EF3"/>
    <w:rsid w:val="00D613FF"/>
    <w:rsid w:val="00D618F8"/>
    <w:rsid w:val="00D61CD2"/>
    <w:rsid w:val="00D6221E"/>
    <w:rsid w:val="00D64D0E"/>
    <w:rsid w:val="00D65772"/>
    <w:rsid w:val="00D672C5"/>
    <w:rsid w:val="00D67983"/>
    <w:rsid w:val="00D70E13"/>
    <w:rsid w:val="00D71CCD"/>
    <w:rsid w:val="00D72648"/>
    <w:rsid w:val="00D73EE3"/>
    <w:rsid w:val="00D75DB6"/>
    <w:rsid w:val="00D763DD"/>
    <w:rsid w:val="00D76BDF"/>
    <w:rsid w:val="00D778B0"/>
    <w:rsid w:val="00D81B56"/>
    <w:rsid w:val="00D8203C"/>
    <w:rsid w:val="00D8302E"/>
    <w:rsid w:val="00D85F64"/>
    <w:rsid w:val="00D864C5"/>
    <w:rsid w:val="00D8659B"/>
    <w:rsid w:val="00D87FDF"/>
    <w:rsid w:val="00D91166"/>
    <w:rsid w:val="00D917C4"/>
    <w:rsid w:val="00D924A7"/>
    <w:rsid w:val="00D9329B"/>
    <w:rsid w:val="00D93331"/>
    <w:rsid w:val="00D945AC"/>
    <w:rsid w:val="00D95DD7"/>
    <w:rsid w:val="00D95E2D"/>
    <w:rsid w:val="00D96388"/>
    <w:rsid w:val="00D9706B"/>
    <w:rsid w:val="00D9706C"/>
    <w:rsid w:val="00D9763F"/>
    <w:rsid w:val="00DA0E18"/>
    <w:rsid w:val="00DA1603"/>
    <w:rsid w:val="00DA25E4"/>
    <w:rsid w:val="00DA686E"/>
    <w:rsid w:val="00DA6AC9"/>
    <w:rsid w:val="00DA7359"/>
    <w:rsid w:val="00DA736E"/>
    <w:rsid w:val="00DA7A07"/>
    <w:rsid w:val="00DB08DC"/>
    <w:rsid w:val="00DB2C70"/>
    <w:rsid w:val="00DB2F96"/>
    <w:rsid w:val="00DB303D"/>
    <w:rsid w:val="00DB3F02"/>
    <w:rsid w:val="00DB667A"/>
    <w:rsid w:val="00DB66B4"/>
    <w:rsid w:val="00DC0346"/>
    <w:rsid w:val="00DC050F"/>
    <w:rsid w:val="00DC06DD"/>
    <w:rsid w:val="00DC1677"/>
    <w:rsid w:val="00DC1D00"/>
    <w:rsid w:val="00DC274D"/>
    <w:rsid w:val="00DC3F46"/>
    <w:rsid w:val="00DC3F81"/>
    <w:rsid w:val="00DC402D"/>
    <w:rsid w:val="00DC5364"/>
    <w:rsid w:val="00DC568E"/>
    <w:rsid w:val="00DC6F16"/>
    <w:rsid w:val="00DD132C"/>
    <w:rsid w:val="00DD139C"/>
    <w:rsid w:val="00DD19AC"/>
    <w:rsid w:val="00DD2158"/>
    <w:rsid w:val="00DD3B29"/>
    <w:rsid w:val="00DD43B5"/>
    <w:rsid w:val="00DD5F71"/>
    <w:rsid w:val="00DD61A3"/>
    <w:rsid w:val="00DD658B"/>
    <w:rsid w:val="00DD66F2"/>
    <w:rsid w:val="00DD7085"/>
    <w:rsid w:val="00DD7AF5"/>
    <w:rsid w:val="00DE180C"/>
    <w:rsid w:val="00DE1965"/>
    <w:rsid w:val="00DE49E0"/>
    <w:rsid w:val="00DE4DD0"/>
    <w:rsid w:val="00DE4F64"/>
    <w:rsid w:val="00DE5146"/>
    <w:rsid w:val="00DF1764"/>
    <w:rsid w:val="00DF326B"/>
    <w:rsid w:val="00DF4256"/>
    <w:rsid w:val="00DF5293"/>
    <w:rsid w:val="00DF5389"/>
    <w:rsid w:val="00DF56C3"/>
    <w:rsid w:val="00DF5C98"/>
    <w:rsid w:val="00DF730A"/>
    <w:rsid w:val="00E0038B"/>
    <w:rsid w:val="00E02636"/>
    <w:rsid w:val="00E02BF4"/>
    <w:rsid w:val="00E04330"/>
    <w:rsid w:val="00E04694"/>
    <w:rsid w:val="00E04D19"/>
    <w:rsid w:val="00E056B6"/>
    <w:rsid w:val="00E058ED"/>
    <w:rsid w:val="00E05BD0"/>
    <w:rsid w:val="00E06CCC"/>
    <w:rsid w:val="00E0754E"/>
    <w:rsid w:val="00E11F64"/>
    <w:rsid w:val="00E12A8E"/>
    <w:rsid w:val="00E13EA5"/>
    <w:rsid w:val="00E16832"/>
    <w:rsid w:val="00E20D3F"/>
    <w:rsid w:val="00E21978"/>
    <w:rsid w:val="00E21F15"/>
    <w:rsid w:val="00E22055"/>
    <w:rsid w:val="00E22B88"/>
    <w:rsid w:val="00E23DFA"/>
    <w:rsid w:val="00E242ED"/>
    <w:rsid w:val="00E256FC"/>
    <w:rsid w:val="00E277E9"/>
    <w:rsid w:val="00E30648"/>
    <w:rsid w:val="00E32D14"/>
    <w:rsid w:val="00E33701"/>
    <w:rsid w:val="00E34966"/>
    <w:rsid w:val="00E34F61"/>
    <w:rsid w:val="00E37111"/>
    <w:rsid w:val="00E40581"/>
    <w:rsid w:val="00E40CC3"/>
    <w:rsid w:val="00E41441"/>
    <w:rsid w:val="00E447AB"/>
    <w:rsid w:val="00E45C4A"/>
    <w:rsid w:val="00E46D2D"/>
    <w:rsid w:val="00E46FEF"/>
    <w:rsid w:val="00E50AAB"/>
    <w:rsid w:val="00E50D28"/>
    <w:rsid w:val="00E50FB5"/>
    <w:rsid w:val="00E51D2D"/>
    <w:rsid w:val="00E52CC8"/>
    <w:rsid w:val="00E52E1F"/>
    <w:rsid w:val="00E53664"/>
    <w:rsid w:val="00E54580"/>
    <w:rsid w:val="00E54BE6"/>
    <w:rsid w:val="00E54FB2"/>
    <w:rsid w:val="00E559F6"/>
    <w:rsid w:val="00E56475"/>
    <w:rsid w:val="00E60F09"/>
    <w:rsid w:val="00E61B0E"/>
    <w:rsid w:val="00E6364D"/>
    <w:rsid w:val="00E67A95"/>
    <w:rsid w:val="00E710FF"/>
    <w:rsid w:val="00E72745"/>
    <w:rsid w:val="00E73A82"/>
    <w:rsid w:val="00E740E0"/>
    <w:rsid w:val="00E7531F"/>
    <w:rsid w:val="00E774DD"/>
    <w:rsid w:val="00E77B3F"/>
    <w:rsid w:val="00E83C2C"/>
    <w:rsid w:val="00E842C2"/>
    <w:rsid w:val="00E84DCD"/>
    <w:rsid w:val="00E8529D"/>
    <w:rsid w:val="00E85E59"/>
    <w:rsid w:val="00E862B6"/>
    <w:rsid w:val="00E86E06"/>
    <w:rsid w:val="00E87519"/>
    <w:rsid w:val="00E90009"/>
    <w:rsid w:val="00E908A3"/>
    <w:rsid w:val="00E90A88"/>
    <w:rsid w:val="00E91CD7"/>
    <w:rsid w:val="00E924B5"/>
    <w:rsid w:val="00E92A15"/>
    <w:rsid w:val="00E9387A"/>
    <w:rsid w:val="00E93DA8"/>
    <w:rsid w:val="00E9518D"/>
    <w:rsid w:val="00E953B2"/>
    <w:rsid w:val="00E95D42"/>
    <w:rsid w:val="00E95EF2"/>
    <w:rsid w:val="00E96416"/>
    <w:rsid w:val="00E96EE8"/>
    <w:rsid w:val="00EA284C"/>
    <w:rsid w:val="00EA2DEB"/>
    <w:rsid w:val="00EA315B"/>
    <w:rsid w:val="00EA56C5"/>
    <w:rsid w:val="00EA59F6"/>
    <w:rsid w:val="00EA5CCC"/>
    <w:rsid w:val="00EA5CEE"/>
    <w:rsid w:val="00EA5FAC"/>
    <w:rsid w:val="00EA70F8"/>
    <w:rsid w:val="00EA7222"/>
    <w:rsid w:val="00EB1D18"/>
    <w:rsid w:val="00EB1D92"/>
    <w:rsid w:val="00EB22F8"/>
    <w:rsid w:val="00EB341C"/>
    <w:rsid w:val="00EB4407"/>
    <w:rsid w:val="00EB49CB"/>
    <w:rsid w:val="00EB64E9"/>
    <w:rsid w:val="00EB67F2"/>
    <w:rsid w:val="00EB70E9"/>
    <w:rsid w:val="00EC066E"/>
    <w:rsid w:val="00EC1751"/>
    <w:rsid w:val="00EC1D41"/>
    <w:rsid w:val="00EC1F04"/>
    <w:rsid w:val="00EC2745"/>
    <w:rsid w:val="00EC2DE7"/>
    <w:rsid w:val="00EC60F1"/>
    <w:rsid w:val="00ED078A"/>
    <w:rsid w:val="00ED0C01"/>
    <w:rsid w:val="00ED0CB3"/>
    <w:rsid w:val="00ED35E2"/>
    <w:rsid w:val="00ED432C"/>
    <w:rsid w:val="00ED55B8"/>
    <w:rsid w:val="00ED6B48"/>
    <w:rsid w:val="00ED6C49"/>
    <w:rsid w:val="00ED6ECA"/>
    <w:rsid w:val="00ED7D18"/>
    <w:rsid w:val="00EE0D88"/>
    <w:rsid w:val="00EE21E2"/>
    <w:rsid w:val="00EE3347"/>
    <w:rsid w:val="00EE3985"/>
    <w:rsid w:val="00EE3B57"/>
    <w:rsid w:val="00EE3CB5"/>
    <w:rsid w:val="00EE45E9"/>
    <w:rsid w:val="00EE4D4A"/>
    <w:rsid w:val="00EE53B4"/>
    <w:rsid w:val="00EE7CD8"/>
    <w:rsid w:val="00EF2578"/>
    <w:rsid w:val="00EF2D53"/>
    <w:rsid w:val="00EF2FF7"/>
    <w:rsid w:val="00EF3255"/>
    <w:rsid w:val="00EF3548"/>
    <w:rsid w:val="00EF3D6B"/>
    <w:rsid w:val="00EF3DDE"/>
    <w:rsid w:val="00EF533C"/>
    <w:rsid w:val="00EF556D"/>
    <w:rsid w:val="00EF6B3C"/>
    <w:rsid w:val="00EF6C2B"/>
    <w:rsid w:val="00EF6F0B"/>
    <w:rsid w:val="00F00C43"/>
    <w:rsid w:val="00F02F66"/>
    <w:rsid w:val="00F0506E"/>
    <w:rsid w:val="00F05679"/>
    <w:rsid w:val="00F1026A"/>
    <w:rsid w:val="00F104BE"/>
    <w:rsid w:val="00F12A12"/>
    <w:rsid w:val="00F13505"/>
    <w:rsid w:val="00F14BDF"/>
    <w:rsid w:val="00F15947"/>
    <w:rsid w:val="00F16AD3"/>
    <w:rsid w:val="00F22029"/>
    <w:rsid w:val="00F222E8"/>
    <w:rsid w:val="00F2632F"/>
    <w:rsid w:val="00F3128B"/>
    <w:rsid w:val="00F31524"/>
    <w:rsid w:val="00F31B33"/>
    <w:rsid w:val="00F31E3F"/>
    <w:rsid w:val="00F33A2A"/>
    <w:rsid w:val="00F3484A"/>
    <w:rsid w:val="00F359C1"/>
    <w:rsid w:val="00F35B06"/>
    <w:rsid w:val="00F35DE5"/>
    <w:rsid w:val="00F361D6"/>
    <w:rsid w:val="00F36422"/>
    <w:rsid w:val="00F3689C"/>
    <w:rsid w:val="00F36F35"/>
    <w:rsid w:val="00F379B1"/>
    <w:rsid w:val="00F40F6B"/>
    <w:rsid w:val="00F4231A"/>
    <w:rsid w:val="00F42FC3"/>
    <w:rsid w:val="00F456CE"/>
    <w:rsid w:val="00F4594D"/>
    <w:rsid w:val="00F45DC3"/>
    <w:rsid w:val="00F462DF"/>
    <w:rsid w:val="00F46B71"/>
    <w:rsid w:val="00F50825"/>
    <w:rsid w:val="00F534A2"/>
    <w:rsid w:val="00F53ABD"/>
    <w:rsid w:val="00F54ECB"/>
    <w:rsid w:val="00F5577F"/>
    <w:rsid w:val="00F55838"/>
    <w:rsid w:val="00F5638D"/>
    <w:rsid w:val="00F5752A"/>
    <w:rsid w:val="00F5765B"/>
    <w:rsid w:val="00F5780A"/>
    <w:rsid w:val="00F60126"/>
    <w:rsid w:val="00F60922"/>
    <w:rsid w:val="00F60A99"/>
    <w:rsid w:val="00F60E93"/>
    <w:rsid w:val="00F613E9"/>
    <w:rsid w:val="00F617E7"/>
    <w:rsid w:val="00F62019"/>
    <w:rsid w:val="00F63C20"/>
    <w:rsid w:val="00F645D8"/>
    <w:rsid w:val="00F64757"/>
    <w:rsid w:val="00F65C9C"/>
    <w:rsid w:val="00F65FB2"/>
    <w:rsid w:val="00F6701F"/>
    <w:rsid w:val="00F67777"/>
    <w:rsid w:val="00F702AE"/>
    <w:rsid w:val="00F711EA"/>
    <w:rsid w:val="00F718C4"/>
    <w:rsid w:val="00F7220E"/>
    <w:rsid w:val="00F7377F"/>
    <w:rsid w:val="00F74CF2"/>
    <w:rsid w:val="00F750AD"/>
    <w:rsid w:val="00F77141"/>
    <w:rsid w:val="00F77683"/>
    <w:rsid w:val="00F801B5"/>
    <w:rsid w:val="00F8047F"/>
    <w:rsid w:val="00F8089D"/>
    <w:rsid w:val="00F809E6"/>
    <w:rsid w:val="00F83A4F"/>
    <w:rsid w:val="00F8584A"/>
    <w:rsid w:val="00F86DF7"/>
    <w:rsid w:val="00F90F19"/>
    <w:rsid w:val="00F9152A"/>
    <w:rsid w:val="00F915E3"/>
    <w:rsid w:val="00F92E3B"/>
    <w:rsid w:val="00F9373A"/>
    <w:rsid w:val="00F938A5"/>
    <w:rsid w:val="00F956E6"/>
    <w:rsid w:val="00F9577D"/>
    <w:rsid w:val="00F95F14"/>
    <w:rsid w:val="00F97CB6"/>
    <w:rsid w:val="00FA06FE"/>
    <w:rsid w:val="00FA1543"/>
    <w:rsid w:val="00FA2D0D"/>
    <w:rsid w:val="00FA30E8"/>
    <w:rsid w:val="00FA3F84"/>
    <w:rsid w:val="00FA557A"/>
    <w:rsid w:val="00FA59F6"/>
    <w:rsid w:val="00FA64B8"/>
    <w:rsid w:val="00FA77BB"/>
    <w:rsid w:val="00FA7E6F"/>
    <w:rsid w:val="00FB08E6"/>
    <w:rsid w:val="00FB1B2A"/>
    <w:rsid w:val="00FB2BDC"/>
    <w:rsid w:val="00FB35B8"/>
    <w:rsid w:val="00FB4353"/>
    <w:rsid w:val="00FB49ED"/>
    <w:rsid w:val="00FB4E28"/>
    <w:rsid w:val="00FB5732"/>
    <w:rsid w:val="00FB5815"/>
    <w:rsid w:val="00FB6948"/>
    <w:rsid w:val="00FB6B0D"/>
    <w:rsid w:val="00FC0C47"/>
    <w:rsid w:val="00FC2CEF"/>
    <w:rsid w:val="00FC41D7"/>
    <w:rsid w:val="00FC4ECA"/>
    <w:rsid w:val="00FC7759"/>
    <w:rsid w:val="00FC79FB"/>
    <w:rsid w:val="00FD0235"/>
    <w:rsid w:val="00FD054E"/>
    <w:rsid w:val="00FD2163"/>
    <w:rsid w:val="00FD24BE"/>
    <w:rsid w:val="00FD252E"/>
    <w:rsid w:val="00FD2766"/>
    <w:rsid w:val="00FD28C1"/>
    <w:rsid w:val="00FD3088"/>
    <w:rsid w:val="00FD59ED"/>
    <w:rsid w:val="00FD6CCA"/>
    <w:rsid w:val="00FD7383"/>
    <w:rsid w:val="00FE04BD"/>
    <w:rsid w:val="00FE38D8"/>
    <w:rsid w:val="00FE3DAF"/>
    <w:rsid w:val="00FE4ACF"/>
    <w:rsid w:val="00FE635A"/>
    <w:rsid w:val="00FF098F"/>
    <w:rsid w:val="00FF1282"/>
    <w:rsid w:val="00FF24DC"/>
    <w:rsid w:val="00FF43E9"/>
    <w:rsid w:val="00FF5440"/>
    <w:rsid w:val="00FF5D01"/>
    <w:rsid w:val="00FF6333"/>
    <w:rsid w:val="00FF6F42"/>
  </w:rsids>
  <m:mathPr>
    <m:mathFont m:val="Cambria Math"/>
    <m:brkBin m:val="before"/>
    <m:brkBinSub m:val="--"/>
    <m:smallFrac/>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fill="f" fillcolor="window" stroke="f">
      <v:fill color="window"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0077"/>
    <w:rPr>
      <w:lang w:val="en-US" w:eastAsia="en-US"/>
    </w:rPr>
  </w:style>
  <w:style w:type="paragraph" w:styleId="Heading1">
    <w:name w:val="heading 1"/>
    <w:basedOn w:val="Normal"/>
    <w:next w:val="Normal"/>
    <w:qFormat/>
    <w:rsid w:val="00260077"/>
    <w:pPr>
      <w:keepNext/>
      <w:jc w:val="both"/>
      <w:outlineLvl w:val="0"/>
    </w:pPr>
    <w:rPr>
      <w:b/>
      <w:sz w:val="24"/>
    </w:rPr>
  </w:style>
  <w:style w:type="paragraph" w:styleId="Heading2">
    <w:name w:val="heading 2"/>
    <w:basedOn w:val="Normal"/>
    <w:next w:val="Normal"/>
    <w:link w:val="Heading2Char"/>
    <w:qFormat/>
    <w:rsid w:val="00260077"/>
    <w:pPr>
      <w:keepNext/>
      <w:outlineLvl w:val="1"/>
    </w:pPr>
    <w:rPr>
      <w:b/>
      <w:sz w:val="24"/>
    </w:rPr>
  </w:style>
  <w:style w:type="paragraph" w:styleId="Heading3">
    <w:name w:val="heading 3"/>
    <w:basedOn w:val="Normal"/>
    <w:next w:val="Normal"/>
    <w:qFormat/>
    <w:rsid w:val="00260077"/>
    <w:pPr>
      <w:keepNext/>
      <w:ind w:left="360"/>
      <w:jc w:val="both"/>
      <w:outlineLvl w:val="2"/>
    </w:pPr>
    <w:rPr>
      <w:b/>
      <w:sz w:val="24"/>
    </w:rPr>
  </w:style>
  <w:style w:type="paragraph" w:styleId="Heading4">
    <w:name w:val="heading 4"/>
    <w:basedOn w:val="Normal"/>
    <w:next w:val="Normal"/>
    <w:qFormat/>
    <w:rsid w:val="00260077"/>
    <w:pPr>
      <w:keepNext/>
      <w:outlineLvl w:val="3"/>
    </w:pPr>
    <w:rPr>
      <w:b/>
    </w:rPr>
  </w:style>
  <w:style w:type="paragraph" w:styleId="Heading5">
    <w:name w:val="heading 5"/>
    <w:basedOn w:val="Normal"/>
    <w:next w:val="Normal"/>
    <w:qFormat/>
    <w:rsid w:val="00260077"/>
    <w:pPr>
      <w:keepNext/>
      <w:jc w:val="both"/>
      <w:outlineLvl w:val="4"/>
    </w:pPr>
    <w:rPr>
      <w:b/>
      <w:sz w:val="22"/>
    </w:rPr>
  </w:style>
  <w:style w:type="paragraph" w:styleId="Heading6">
    <w:name w:val="heading 6"/>
    <w:basedOn w:val="Normal"/>
    <w:next w:val="Normal"/>
    <w:qFormat/>
    <w:rsid w:val="00260077"/>
    <w:pPr>
      <w:keepNext/>
      <w:ind w:left="720" w:right="-331"/>
      <w:jc w:val="both"/>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style>
  <w:style w:type="paragraph" w:styleId="BodyTextIndent">
    <w:name w:val="Body Text Indent"/>
    <w:basedOn w:val="Normal"/>
    <w:pPr>
      <w:tabs>
        <w:tab w:val="left" w:pos="360"/>
      </w:tabs>
      <w:ind w:left="360"/>
    </w:pPr>
    <w:rPr>
      <w:sz w:val="24"/>
    </w:rPr>
  </w:style>
  <w:style w:type="paragraph" w:styleId="BodyTextIndent2">
    <w:name w:val="Body Text Indent 2"/>
    <w:basedOn w:val="Normal"/>
    <w:link w:val="BodyTextIndent2Char"/>
    <w:pPr>
      <w:ind w:left="360"/>
      <w:jc w:val="both"/>
    </w:pPr>
    <w:rPr>
      <w:sz w:val="24"/>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lockText">
    <w:name w:val="Block Text"/>
    <w:basedOn w:val="Normal"/>
    <w:pPr>
      <w:ind w:left="720" w:right="-331"/>
      <w:jc w:val="both"/>
    </w:pPr>
    <w:rPr>
      <w:sz w:val="22"/>
    </w:rPr>
  </w:style>
  <w:style w:type="paragraph" w:styleId="Header">
    <w:name w:val="header"/>
    <w:basedOn w:val="Normal"/>
    <w:pPr>
      <w:tabs>
        <w:tab w:val="center" w:pos="4320"/>
        <w:tab w:val="right" w:pos="8640"/>
      </w:tabs>
    </w:pPr>
  </w:style>
  <w:style w:type="paragraph" w:styleId="BalloonText">
    <w:name w:val="Balloon Text"/>
    <w:basedOn w:val="Normal"/>
    <w:semiHidden/>
    <w:rsid w:val="000316C5"/>
    <w:rPr>
      <w:rFonts w:ascii="Tahoma" w:hAnsi="Tahoma" w:cs="Tahoma"/>
      <w:sz w:val="16"/>
      <w:szCs w:val="16"/>
    </w:rPr>
  </w:style>
  <w:style w:type="table" w:styleId="TableGrid">
    <w:name w:val="Table Grid"/>
    <w:basedOn w:val="TableNormal"/>
    <w:rsid w:val="00F601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FA7E6F"/>
    <w:pPr>
      <w:spacing w:after="120"/>
    </w:pPr>
    <w:rPr>
      <w:lang w:val="x-none"/>
    </w:rPr>
  </w:style>
  <w:style w:type="character" w:customStyle="1" w:styleId="BodyTextChar">
    <w:name w:val="Body Text Char"/>
    <w:link w:val="BodyText"/>
    <w:rsid w:val="00FA7E6F"/>
    <w:rPr>
      <w:lang w:eastAsia="en-US"/>
    </w:rPr>
  </w:style>
  <w:style w:type="character" w:customStyle="1" w:styleId="BodyTextIndent2Char">
    <w:name w:val="Body Text Indent 2 Char"/>
    <w:link w:val="BodyTextIndent2"/>
    <w:rsid w:val="00565492"/>
    <w:rPr>
      <w:sz w:val="24"/>
      <w:lang w:val="en-US" w:eastAsia="en-US"/>
    </w:rPr>
  </w:style>
  <w:style w:type="character" w:customStyle="1" w:styleId="Heading2Char">
    <w:name w:val="Heading 2 Char"/>
    <w:link w:val="Heading2"/>
    <w:rsid w:val="00260077"/>
    <w:rPr>
      <w:b/>
      <w:sz w:val="24"/>
      <w:lang w:val="en-US"/>
    </w:rPr>
  </w:style>
  <w:style w:type="paragraph" w:styleId="ListParagraph">
    <w:name w:val="List Paragraph"/>
    <w:basedOn w:val="Normal"/>
    <w:uiPriority w:val="34"/>
    <w:qFormat/>
    <w:rsid w:val="00260077"/>
    <w:pPr>
      <w:ind w:left="720"/>
    </w:pPr>
  </w:style>
  <w:style w:type="paragraph" w:customStyle="1" w:styleId="Default">
    <w:name w:val="Default"/>
    <w:rsid w:val="00BE5B44"/>
    <w:pPr>
      <w:autoSpaceDE w:val="0"/>
      <w:autoSpaceDN w:val="0"/>
      <w:adjustRightInd w:val="0"/>
    </w:pPr>
    <w:rPr>
      <w:rFonts w:ascii="Arial" w:hAnsi="Arial" w:cs="Arial"/>
      <w:color w:val="000000"/>
      <w:sz w:val="24"/>
      <w:szCs w:val="24"/>
    </w:rPr>
  </w:style>
  <w:style w:type="character" w:styleId="LineNumber">
    <w:name w:val="line number"/>
    <w:rsid w:val="00A83AB7"/>
  </w:style>
  <w:style w:type="paragraph" w:styleId="NormalWeb">
    <w:name w:val="Normal (Web)"/>
    <w:basedOn w:val="Normal"/>
    <w:uiPriority w:val="99"/>
    <w:unhideWhenUsed/>
    <w:rsid w:val="00867A99"/>
    <w:pPr>
      <w:spacing w:before="100" w:beforeAutospacing="1" w:after="100" w:afterAutospacing="1"/>
    </w:pPr>
    <w:rPr>
      <w:color w:val="000000"/>
      <w:sz w:val="24"/>
      <w:szCs w:val="24"/>
      <w:lang w:val="en-MY" w:eastAsia="en-MY"/>
    </w:rPr>
  </w:style>
  <w:style w:type="paragraph" w:styleId="PlainText">
    <w:name w:val="Plain Text"/>
    <w:basedOn w:val="Normal"/>
    <w:link w:val="PlainTextChar"/>
    <w:uiPriority w:val="99"/>
    <w:unhideWhenUsed/>
    <w:rsid w:val="00CE790E"/>
    <w:rPr>
      <w:rFonts w:ascii="Calibri" w:eastAsiaTheme="minorHAnsi" w:hAnsi="Calibri" w:cstheme="minorBidi"/>
      <w:sz w:val="22"/>
      <w:szCs w:val="21"/>
      <w:lang w:val="en-MY"/>
    </w:rPr>
  </w:style>
  <w:style w:type="character" w:customStyle="1" w:styleId="PlainTextChar">
    <w:name w:val="Plain Text Char"/>
    <w:basedOn w:val="DefaultParagraphFont"/>
    <w:link w:val="PlainText"/>
    <w:uiPriority w:val="99"/>
    <w:rsid w:val="00CE790E"/>
    <w:rPr>
      <w:rFonts w:ascii="Calibri" w:eastAsiaTheme="minorHAnsi" w:hAnsi="Calibri" w:cstheme="minorBidi"/>
      <w:sz w:val="22"/>
      <w:szCs w:val="21"/>
      <w:lang w:eastAsia="en-US"/>
    </w:rPr>
  </w:style>
  <w:style w:type="character" w:styleId="CommentReference">
    <w:name w:val="annotation reference"/>
    <w:basedOn w:val="DefaultParagraphFont"/>
    <w:rsid w:val="00593516"/>
    <w:rPr>
      <w:sz w:val="16"/>
      <w:szCs w:val="16"/>
    </w:rPr>
  </w:style>
  <w:style w:type="paragraph" w:styleId="CommentText">
    <w:name w:val="annotation text"/>
    <w:basedOn w:val="Normal"/>
    <w:link w:val="CommentTextChar"/>
    <w:rsid w:val="00593516"/>
  </w:style>
  <w:style w:type="character" w:customStyle="1" w:styleId="CommentTextChar">
    <w:name w:val="Comment Text Char"/>
    <w:basedOn w:val="DefaultParagraphFont"/>
    <w:link w:val="CommentText"/>
    <w:rsid w:val="00593516"/>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0077"/>
    <w:rPr>
      <w:lang w:val="en-US" w:eastAsia="en-US"/>
    </w:rPr>
  </w:style>
  <w:style w:type="paragraph" w:styleId="Heading1">
    <w:name w:val="heading 1"/>
    <w:basedOn w:val="Normal"/>
    <w:next w:val="Normal"/>
    <w:qFormat/>
    <w:rsid w:val="00260077"/>
    <w:pPr>
      <w:keepNext/>
      <w:jc w:val="both"/>
      <w:outlineLvl w:val="0"/>
    </w:pPr>
    <w:rPr>
      <w:b/>
      <w:sz w:val="24"/>
    </w:rPr>
  </w:style>
  <w:style w:type="paragraph" w:styleId="Heading2">
    <w:name w:val="heading 2"/>
    <w:basedOn w:val="Normal"/>
    <w:next w:val="Normal"/>
    <w:link w:val="Heading2Char"/>
    <w:qFormat/>
    <w:rsid w:val="00260077"/>
    <w:pPr>
      <w:keepNext/>
      <w:outlineLvl w:val="1"/>
    </w:pPr>
    <w:rPr>
      <w:b/>
      <w:sz w:val="24"/>
    </w:rPr>
  </w:style>
  <w:style w:type="paragraph" w:styleId="Heading3">
    <w:name w:val="heading 3"/>
    <w:basedOn w:val="Normal"/>
    <w:next w:val="Normal"/>
    <w:qFormat/>
    <w:rsid w:val="00260077"/>
    <w:pPr>
      <w:keepNext/>
      <w:ind w:left="360"/>
      <w:jc w:val="both"/>
      <w:outlineLvl w:val="2"/>
    </w:pPr>
    <w:rPr>
      <w:b/>
      <w:sz w:val="24"/>
    </w:rPr>
  </w:style>
  <w:style w:type="paragraph" w:styleId="Heading4">
    <w:name w:val="heading 4"/>
    <w:basedOn w:val="Normal"/>
    <w:next w:val="Normal"/>
    <w:qFormat/>
    <w:rsid w:val="00260077"/>
    <w:pPr>
      <w:keepNext/>
      <w:outlineLvl w:val="3"/>
    </w:pPr>
    <w:rPr>
      <w:b/>
    </w:rPr>
  </w:style>
  <w:style w:type="paragraph" w:styleId="Heading5">
    <w:name w:val="heading 5"/>
    <w:basedOn w:val="Normal"/>
    <w:next w:val="Normal"/>
    <w:qFormat/>
    <w:rsid w:val="00260077"/>
    <w:pPr>
      <w:keepNext/>
      <w:jc w:val="both"/>
      <w:outlineLvl w:val="4"/>
    </w:pPr>
    <w:rPr>
      <w:b/>
      <w:sz w:val="22"/>
    </w:rPr>
  </w:style>
  <w:style w:type="paragraph" w:styleId="Heading6">
    <w:name w:val="heading 6"/>
    <w:basedOn w:val="Normal"/>
    <w:next w:val="Normal"/>
    <w:qFormat/>
    <w:rsid w:val="00260077"/>
    <w:pPr>
      <w:keepNext/>
      <w:ind w:left="720" w:right="-331"/>
      <w:jc w:val="both"/>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style>
  <w:style w:type="paragraph" w:styleId="BodyTextIndent">
    <w:name w:val="Body Text Indent"/>
    <w:basedOn w:val="Normal"/>
    <w:pPr>
      <w:tabs>
        <w:tab w:val="left" w:pos="360"/>
      </w:tabs>
      <w:ind w:left="360"/>
    </w:pPr>
    <w:rPr>
      <w:sz w:val="24"/>
    </w:rPr>
  </w:style>
  <w:style w:type="paragraph" w:styleId="BodyTextIndent2">
    <w:name w:val="Body Text Indent 2"/>
    <w:basedOn w:val="Normal"/>
    <w:link w:val="BodyTextIndent2Char"/>
    <w:pPr>
      <w:ind w:left="360"/>
      <w:jc w:val="both"/>
    </w:pPr>
    <w:rPr>
      <w:sz w:val="24"/>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lockText">
    <w:name w:val="Block Text"/>
    <w:basedOn w:val="Normal"/>
    <w:pPr>
      <w:ind w:left="720" w:right="-331"/>
      <w:jc w:val="both"/>
    </w:pPr>
    <w:rPr>
      <w:sz w:val="22"/>
    </w:rPr>
  </w:style>
  <w:style w:type="paragraph" w:styleId="Header">
    <w:name w:val="header"/>
    <w:basedOn w:val="Normal"/>
    <w:pPr>
      <w:tabs>
        <w:tab w:val="center" w:pos="4320"/>
        <w:tab w:val="right" w:pos="8640"/>
      </w:tabs>
    </w:pPr>
  </w:style>
  <w:style w:type="paragraph" w:styleId="BalloonText">
    <w:name w:val="Balloon Text"/>
    <w:basedOn w:val="Normal"/>
    <w:semiHidden/>
    <w:rsid w:val="000316C5"/>
    <w:rPr>
      <w:rFonts w:ascii="Tahoma" w:hAnsi="Tahoma" w:cs="Tahoma"/>
      <w:sz w:val="16"/>
      <w:szCs w:val="16"/>
    </w:rPr>
  </w:style>
  <w:style w:type="table" w:styleId="TableGrid">
    <w:name w:val="Table Grid"/>
    <w:basedOn w:val="TableNormal"/>
    <w:rsid w:val="00F601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FA7E6F"/>
    <w:pPr>
      <w:spacing w:after="120"/>
    </w:pPr>
    <w:rPr>
      <w:lang w:val="x-none"/>
    </w:rPr>
  </w:style>
  <w:style w:type="character" w:customStyle="1" w:styleId="BodyTextChar">
    <w:name w:val="Body Text Char"/>
    <w:link w:val="BodyText"/>
    <w:rsid w:val="00FA7E6F"/>
    <w:rPr>
      <w:lang w:eastAsia="en-US"/>
    </w:rPr>
  </w:style>
  <w:style w:type="character" w:customStyle="1" w:styleId="BodyTextIndent2Char">
    <w:name w:val="Body Text Indent 2 Char"/>
    <w:link w:val="BodyTextIndent2"/>
    <w:rsid w:val="00565492"/>
    <w:rPr>
      <w:sz w:val="24"/>
      <w:lang w:val="en-US" w:eastAsia="en-US"/>
    </w:rPr>
  </w:style>
  <w:style w:type="character" w:customStyle="1" w:styleId="Heading2Char">
    <w:name w:val="Heading 2 Char"/>
    <w:link w:val="Heading2"/>
    <w:rsid w:val="00260077"/>
    <w:rPr>
      <w:b/>
      <w:sz w:val="24"/>
      <w:lang w:val="en-US"/>
    </w:rPr>
  </w:style>
  <w:style w:type="paragraph" w:styleId="ListParagraph">
    <w:name w:val="List Paragraph"/>
    <w:basedOn w:val="Normal"/>
    <w:uiPriority w:val="34"/>
    <w:qFormat/>
    <w:rsid w:val="00260077"/>
    <w:pPr>
      <w:ind w:left="720"/>
    </w:pPr>
  </w:style>
  <w:style w:type="paragraph" w:customStyle="1" w:styleId="Default">
    <w:name w:val="Default"/>
    <w:rsid w:val="00BE5B44"/>
    <w:pPr>
      <w:autoSpaceDE w:val="0"/>
      <w:autoSpaceDN w:val="0"/>
      <w:adjustRightInd w:val="0"/>
    </w:pPr>
    <w:rPr>
      <w:rFonts w:ascii="Arial" w:hAnsi="Arial" w:cs="Arial"/>
      <w:color w:val="000000"/>
      <w:sz w:val="24"/>
      <w:szCs w:val="24"/>
    </w:rPr>
  </w:style>
  <w:style w:type="character" w:styleId="LineNumber">
    <w:name w:val="line number"/>
    <w:rsid w:val="00A83AB7"/>
  </w:style>
  <w:style w:type="paragraph" w:styleId="NormalWeb">
    <w:name w:val="Normal (Web)"/>
    <w:basedOn w:val="Normal"/>
    <w:uiPriority w:val="99"/>
    <w:unhideWhenUsed/>
    <w:rsid w:val="00867A99"/>
    <w:pPr>
      <w:spacing w:before="100" w:beforeAutospacing="1" w:after="100" w:afterAutospacing="1"/>
    </w:pPr>
    <w:rPr>
      <w:color w:val="000000"/>
      <w:sz w:val="24"/>
      <w:szCs w:val="24"/>
      <w:lang w:val="en-MY" w:eastAsia="en-MY"/>
    </w:rPr>
  </w:style>
  <w:style w:type="paragraph" w:styleId="PlainText">
    <w:name w:val="Plain Text"/>
    <w:basedOn w:val="Normal"/>
    <w:link w:val="PlainTextChar"/>
    <w:uiPriority w:val="99"/>
    <w:unhideWhenUsed/>
    <w:rsid w:val="00CE790E"/>
    <w:rPr>
      <w:rFonts w:ascii="Calibri" w:eastAsiaTheme="minorHAnsi" w:hAnsi="Calibri" w:cstheme="minorBidi"/>
      <w:sz w:val="22"/>
      <w:szCs w:val="21"/>
      <w:lang w:val="en-MY"/>
    </w:rPr>
  </w:style>
  <w:style w:type="character" w:customStyle="1" w:styleId="PlainTextChar">
    <w:name w:val="Plain Text Char"/>
    <w:basedOn w:val="DefaultParagraphFont"/>
    <w:link w:val="PlainText"/>
    <w:uiPriority w:val="99"/>
    <w:rsid w:val="00CE790E"/>
    <w:rPr>
      <w:rFonts w:ascii="Calibri" w:eastAsiaTheme="minorHAnsi" w:hAnsi="Calibri" w:cstheme="minorBidi"/>
      <w:sz w:val="22"/>
      <w:szCs w:val="21"/>
      <w:lang w:eastAsia="en-US"/>
    </w:rPr>
  </w:style>
  <w:style w:type="character" w:styleId="CommentReference">
    <w:name w:val="annotation reference"/>
    <w:basedOn w:val="DefaultParagraphFont"/>
    <w:rsid w:val="00593516"/>
    <w:rPr>
      <w:sz w:val="16"/>
      <w:szCs w:val="16"/>
    </w:rPr>
  </w:style>
  <w:style w:type="paragraph" w:styleId="CommentText">
    <w:name w:val="annotation text"/>
    <w:basedOn w:val="Normal"/>
    <w:link w:val="CommentTextChar"/>
    <w:rsid w:val="00593516"/>
  </w:style>
  <w:style w:type="character" w:customStyle="1" w:styleId="CommentTextChar">
    <w:name w:val="Comment Text Char"/>
    <w:basedOn w:val="DefaultParagraphFont"/>
    <w:link w:val="CommentText"/>
    <w:rsid w:val="00593516"/>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0616">
      <w:bodyDiv w:val="1"/>
      <w:marLeft w:val="0"/>
      <w:marRight w:val="0"/>
      <w:marTop w:val="0"/>
      <w:marBottom w:val="0"/>
      <w:divBdr>
        <w:top w:val="none" w:sz="0" w:space="0" w:color="auto"/>
        <w:left w:val="none" w:sz="0" w:space="0" w:color="auto"/>
        <w:bottom w:val="none" w:sz="0" w:space="0" w:color="auto"/>
        <w:right w:val="none" w:sz="0" w:space="0" w:color="auto"/>
      </w:divBdr>
    </w:div>
    <w:div w:id="134033581">
      <w:bodyDiv w:val="1"/>
      <w:marLeft w:val="0"/>
      <w:marRight w:val="0"/>
      <w:marTop w:val="0"/>
      <w:marBottom w:val="0"/>
      <w:divBdr>
        <w:top w:val="none" w:sz="0" w:space="0" w:color="auto"/>
        <w:left w:val="none" w:sz="0" w:space="0" w:color="auto"/>
        <w:bottom w:val="none" w:sz="0" w:space="0" w:color="auto"/>
        <w:right w:val="none" w:sz="0" w:space="0" w:color="auto"/>
      </w:divBdr>
    </w:div>
    <w:div w:id="230627542">
      <w:bodyDiv w:val="1"/>
      <w:marLeft w:val="0"/>
      <w:marRight w:val="0"/>
      <w:marTop w:val="0"/>
      <w:marBottom w:val="0"/>
      <w:divBdr>
        <w:top w:val="none" w:sz="0" w:space="0" w:color="auto"/>
        <w:left w:val="none" w:sz="0" w:space="0" w:color="auto"/>
        <w:bottom w:val="none" w:sz="0" w:space="0" w:color="auto"/>
        <w:right w:val="none" w:sz="0" w:space="0" w:color="auto"/>
      </w:divBdr>
    </w:div>
    <w:div w:id="419453155">
      <w:bodyDiv w:val="1"/>
      <w:marLeft w:val="0"/>
      <w:marRight w:val="0"/>
      <w:marTop w:val="0"/>
      <w:marBottom w:val="0"/>
      <w:divBdr>
        <w:top w:val="none" w:sz="0" w:space="0" w:color="auto"/>
        <w:left w:val="none" w:sz="0" w:space="0" w:color="auto"/>
        <w:bottom w:val="none" w:sz="0" w:space="0" w:color="auto"/>
        <w:right w:val="none" w:sz="0" w:space="0" w:color="auto"/>
      </w:divBdr>
      <w:divsChild>
        <w:div w:id="1395857843">
          <w:marLeft w:val="0"/>
          <w:marRight w:val="0"/>
          <w:marTop w:val="0"/>
          <w:marBottom w:val="0"/>
          <w:divBdr>
            <w:top w:val="none" w:sz="0" w:space="0" w:color="auto"/>
            <w:left w:val="none" w:sz="0" w:space="0" w:color="auto"/>
            <w:bottom w:val="none" w:sz="0" w:space="0" w:color="auto"/>
            <w:right w:val="none" w:sz="0" w:space="0" w:color="auto"/>
          </w:divBdr>
        </w:div>
      </w:divsChild>
    </w:div>
    <w:div w:id="432014830">
      <w:bodyDiv w:val="1"/>
      <w:marLeft w:val="0"/>
      <w:marRight w:val="0"/>
      <w:marTop w:val="0"/>
      <w:marBottom w:val="0"/>
      <w:divBdr>
        <w:top w:val="none" w:sz="0" w:space="0" w:color="auto"/>
        <w:left w:val="none" w:sz="0" w:space="0" w:color="auto"/>
        <w:bottom w:val="none" w:sz="0" w:space="0" w:color="auto"/>
        <w:right w:val="none" w:sz="0" w:space="0" w:color="auto"/>
      </w:divBdr>
    </w:div>
    <w:div w:id="607930649">
      <w:bodyDiv w:val="1"/>
      <w:marLeft w:val="0"/>
      <w:marRight w:val="0"/>
      <w:marTop w:val="0"/>
      <w:marBottom w:val="0"/>
      <w:divBdr>
        <w:top w:val="none" w:sz="0" w:space="0" w:color="auto"/>
        <w:left w:val="none" w:sz="0" w:space="0" w:color="auto"/>
        <w:bottom w:val="none" w:sz="0" w:space="0" w:color="auto"/>
        <w:right w:val="none" w:sz="0" w:space="0" w:color="auto"/>
      </w:divBdr>
    </w:div>
    <w:div w:id="627511296">
      <w:bodyDiv w:val="1"/>
      <w:marLeft w:val="0"/>
      <w:marRight w:val="0"/>
      <w:marTop w:val="0"/>
      <w:marBottom w:val="0"/>
      <w:divBdr>
        <w:top w:val="none" w:sz="0" w:space="0" w:color="auto"/>
        <w:left w:val="none" w:sz="0" w:space="0" w:color="auto"/>
        <w:bottom w:val="none" w:sz="0" w:space="0" w:color="auto"/>
        <w:right w:val="none" w:sz="0" w:space="0" w:color="auto"/>
      </w:divBdr>
    </w:div>
    <w:div w:id="661008681">
      <w:bodyDiv w:val="1"/>
      <w:marLeft w:val="0"/>
      <w:marRight w:val="0"/>
      <w:marTop w:val="0"/>
      <w:marBottom w:val="0"/>
      <w:divBdr>
        <w:top w:val="none" w:sz="0" w:space="0" w:color="auto"/>
        <w:left w:val="none" w:sz="0" w:space="0" w:color="auto"/>
        <w:bottom w:val="none" w:sz="0" w:space="0" w:color="auto"/>
        <w:right w:val="none" w:sz="0" w:space="0" w:color="auto"/>
      </w:divBdr>
      <w:divsChild>
        <w:div w:id="339352884">
          <w:marLeft w:val="0"/>
          <w:marRight w:val="0"/>
          <w:marTop w:val="0"/>
          <w:marBottom w:val="0"/>
          <w:divBdr>
            <w:top w:val="none" w:sz="0" w:space="0" w:color="auto"/>
            <w:left w:val="none" w:sz="0" w:space="0" w:color="auto"/>
            <w:bottom w:val="none" w:sz="0" w:space="0" w:color="auto"/>
            <w:right w:val="none" w:sz="0" w:space="0" w:color="auto"/>
          </w:divBdr>
        </w:div>
      </w:divsChild>
    </w:div>
    <w:div w:id="713626058">
      <w:bodyDiv w:val="1"/>
      <w:marLeft w:val="0"/>
      <w:marRight w:val="0"/>
      <w:marTop w:val="0"/>
      <w:marBottom w:val="0"/>
      <w:divBdr>
        <w:top w:val="none" w:sz="0" w:space="0" w:color="auto"/>
        <w:left w:val="none" w:sz="0" w:space="0" w:color="auto"/>
        <w:bottom w:val="none" w:sz="0" w:space="0" w:color="auto"/>
        <w:right w:val="none" w:sz="0" w:space="0" w:color="auto"/>
      </w:divBdr>
      <w:divsChild>
        <w:div w:id="943152042">
          <w:marLeft w:val="0"/>
          <w:marRight w:val="0"/>
          <w:marTop w:val="0"/>
          <w:marBottom w:val="0"/>
          <w:divBdr>
            <w:top w:val="none" w:sz="0" w:space="0" w:color="auto"/>
            <w:left w:val="none" w:sz="0" w:space="0" w:color="auto"/>
            <w:bottom w:val="none" w:sz="0" w:space="0" w:color="auto"/>
            <w:right w:val="none" w:sz="0" w:space="0" w:color="auto"/>
          </w:divBdr>
          <w:divsChild>
            <w:div w:id="1347051797">
              <w:marLeft w:val="0"/>
              <w:marRight w:val="0"/>
              <w:marTop w:val="0"/>
              <w:marBottom w:val="0"/>
              <w:divBdr>
                <w:top w:val="none" w:sz="0" w:space="0" w:color="auto"/>
                <w:left w:val="none" w:sz="0" w:space="0" w:color="auto"/>
                <w:bottom w:val="none" w:sz="0" w:space="0" w:color="auto"/>
                <w:right w:val="none" w:sz="0" w:space="0" w:color="auto"/>
              </w:divBdr>
              <w:divsChild>
                <w:div w:id="14333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83977">
      <w:bodyDiv w:val="1"/>
      <w:marLeft w:val="0"/>
      <w:marRight w:val="0"/>
      <w:marTop w:val="0"/>
      <w:marBottom w:val="0"/>
      <w:divBdr>
        <w:top w:val="none" w:sz="0" w:space="0" w:color="auto"/>
        <w:left w:val="none" w:sz="0" w:space="0" w:color="auto"/>
        <w:bottom w:val="none" w:sz="0" w:space="0" w:color="auto"/>
        <w:right w:val="none" w:sz="0" w:space="0" w:color="auto"/>
      </w:divBdr>
      <w:divsChild>
        <w:div w:id="1645040699">
          <w:marLeft w:val="0"/>
          <w:marRight w:val="0"/>
          <w:marTop w:val="0"/>
          <w:marBottom w:val="0"/>
          <w:divBdr>
            <w:top w:val="none" w:sz="0" w:space="0" w:color="auto"/>
            <w:left w:val="none" w:sz="0" w:space="0" w:color="auto"/>
            <w:bottom w:val="none" w:sz="0" w:space="0" w:color="auto"/>
            <w:right w:val="none" w:sz="0" w:space="0" w:color="auto"/>
          </w:divBdr>
        </w:div>
        <w:div w:id="1755665438">
          <w:marLeft w:val="0"/>
          <w:marRight w:val="0"/>
          <w:marTop w:val="0"/>
          <w:marBottom w:val="0"/>
          <w:divBdr>
            <w:top w:val="none" w:sz="0" w:space="0" w:color="auto"/>
            <w:left w:val="none" w:sz="0" w:space="0" w:color="auto"/>
            <w:bottom w:val="none" w:sz="0" w:space="0" w:color="auto"/>
            <w:right w:val="none" w:sz="0" w:space="0" w:color="auto"/>
          </w:divBdr>
        </w:div>
      </w:divsChild>
    </w:div>
    <w:div w:id="805851041">
      <w:bodyDiv w:val="1"/>
      <w:marLeft w:val="0"/>
      <w:marRight w:val="0"/>
      <w:marTop w:val="0"/>
      <w:marBottom w:val="0"/>
      <w:divBdr>
        <w:top w:val="none" w:sz="0" w:space="0" w:color="auto"/>
        <w:left w:val="none" w:sz="0" w:space="0" w:color="auto"/>
        <w:bottom w:val="none" w:sz="0" w:space="0" w:color="auto"/>
        <w:right w:val="none" w:sz="0" w:space="0" w:color="auto"/>
      </w:divBdr>
      <w:divsChild>
        <w:div w:id="277152761">
          <w:marLeft w:val="0"/>
          <w:marRight w:val="0"/>
          <w:marTop w:val="0"/>
          <w:marBottom w:val="0"/>
          <w:divBdr>
            <w:top w:val="none" w:sz="0" w:space="0" w:color="auto"/>
            <w:left w:val="none" w:sz="0" w:space="0" w:color="auto"/>
            <w:bottom w:val="none" w:sz="0" w:space="0" w:color="auto"/>
            <w:right w:val="none" w:sz="0" w:space="0" w:color="auto"/>
          </w:divBdr>
        </w:div>
      </w:divsChild>
    </w:div>
    <w:div w:id="914779279">
      <w:bodyDiv w:val="1"/>
      <w:marLeft w:val="0"/>
      <w:marRight w:val="0"/>
      <w:marTop w:val="0"/>
      <w:marBottom w:val="0"/>
      <w:divBdr>
        <w:top w:val="none" w:sz="0" w:space="0" w:color="auto"/>
        <w:left w:val="none" w:sz="0" w:space="0" w:color="auto"/>
        <w:bottom w:val="none" w:sz="0" w:space="0" w:color="auto"/>
        <w:right w:val="none" w:sz="0" w:space="0" w:color="auto"/>
      </w:divBdr>
    </w:div>
    <w:div w:id="1126698896">
      <w:bodyDiv w:val="1"/>
      <w:marLeft w:val="0"/>
      <w:marRight w:val="0"/>
      <w:marTop w:val="0"/>
      <w:marBottom w:val="0"/>
      <w:divBdr>
        <w:top w:val="none" w:sz="0" w:space="0" w:color="auto"/>
        <w:left w:val="none" w:sz="0" w:space="0" w:color="auto"/>
        <w:bottom w:val="none" w:sz="0" w:space="0" w:color="auto"/>
        <w:right w:val="none" w:sz="0" w:space="0" w:color="auto"/>
      </w:divBdr>
      <w:divsChild>
        <w:div w:id="1624463254">
          <w:marLeft w:val="0"/>
          <w:marRight w:val="0"/>
          <w:marTop w:val="0"/>
          <w:marBottom w:val="0"/>
          <w:divBdr>
            <w:top w:val="none" w:sz="0" w:space="0" w:color="auto"/>
            <w:left w:val="none" w:sz="0" w:space="0" w:color="auto"/>
            <w:bottom w:val="none" w:sz="0" w:space="0" w:color="auto"/>
            <w:right w:val="none" w:sz="0" w:space="0" w:color="auto"/>
          </w:divBdr>
          <w:divsChild>
            <w:div w:id="396443262">
              <w:marLeft w:val="0"/>
              <w:marRight w:val="0"/>
              <w:marTop w:val="0"/>
              <w:marBottom w:val="0"/>
              <w:divBdr>
                <w:top w:val="none" w:sz="0" w:space="0" w:color="auto"/>
                <w:left w:val="none" w:sz="0" w:space="0" w:color="auto"/>
                <w:bottom w:val="none" w:sz="0" w:space="0" w:color="auto"/>
                <w:right w:val="none" w:sz="0" w:space="0" w:color="auto"/>
              </w:divBdr>
              <w:divsChild>
                <w:div w:id="9943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20753">
      <w:bodyDiv w:val="1"/>
      <w:marLeft w:val="0"/>
      <w:marRight w:val="0"/>
      <w:marTop w:val="0"/>
      <w:marBottom w:val="0"/>
      <w:divBdr>
        <w:top w:val="none" w:sz="0" w:space="0" w:color="auto"/>
        <w:left w:val="none" w:sz="0" w:space="0" w:color="auto"/>
        <w:bottom w:val="none" w:sz="0" w:space="0" w:color="auto"/>
        <w:right w:val="none" w:sz="0" w:space="0" w:color="auto"/>
      </w:divBdr>
    </w:div>
    <w:div w:id="1310744881">
      <w:bodyDiv w:val="1"/>
      <w:marLeft w:val="0"/>
      <w:marRight w:val="0"/>
      <w:marTop w:val="0"/>
      <w:marBottom w:val="0"/>
      <w:divBdr>
        <w:top w:val="none" w:sz="0" w:space="0" w:color="auto"/>
        <w:left w:val="none" w:sz="0" w:space="0" w:color="auto"/>
        <w:bottom w:val="none" w:sz="0" w:space="0" w:color="auto"/>
        <w:right w:val="none" w:sz="0" w:space="0" w:color="auto"/>
      </w:divBdr>
    </w:div>
    <w:div w:id="1330333965">
      <w:bodyDiv w:val="1"/>
      <w:marLeft w:val="0"/>
      <w:marRight w:val="0"/>
      <w:marTop w:val="0"/>
      <w:marBottom w:val="0"/>
      <w:divBdr>
        <w:top w:val="none" w:sz="0" w:space="0" w:color="auto"/>
        <w:left w:val="none" w:sz="0" w:space="0" w:color="auto"/>
        <w:bottom w:val="none" w:sz="0" w:space="0" w:color="auto"/>
        <w:right w:val="none" w:sz="0" w:space="0" w:color="auto"/>
      </w:divBdr>
    </w:div>
    <w:div w:id="1332440860">
      <w:bodyDiv w:val="1"/>
      <w:marLeft w:val="0"/>
      <w:marRight w:val="0"/>
      <w:marTop w:val="0"/>
      <w:marBottom w:val="0"/>
      <w:divBdr>
        <w:top w:val="none" w:sz="0" w:space="0" w:color="auto"/>
        <w:left w:val="none" w:sz="0" w:space="0" w:color="auto"/>
        <w:bottom w:val="none" w:sz="0" w:space="0" w:color="auto"/>
        <w:right w:val="none" w:sz="0" w:space="0" w:color="auto"/>
      </w:divBdr>
      <w:divsChild>
        <w:div w:id="1947272561">
          <w:marLeft w:val="0"/>
          <w:marRight w:val="0"/>
          <w:marTop w:val="0"/>
          <w:marBottom w:val="0"/>
          <w:divBdr>
            <w:top w:val="none" w:sz="0" w:space="0" w:color="auto"/>
            <w:left w:val="none" w:sz="0" w:space="0" w:color="auto"/>
            <w:bottom w:val="none" w:sz="0" w:space="0" w:color="auto"/>
            <w:right w:val="none" w:sz="0" w:space="0" w:color="auto"/>
          </w:divBdr>
          <w:divsChild>
            <w:div w:id="1224295787">
              <w:marLeft w:val="0"/>
              <w:marRight w:val="0"/>
              <w:marTop w:val="0"/>
              <w:marBottom w:val="0"/>
              <w:divBdr>
                <w:top w:val="none" w:sz="0" w:space="0" w:color="auto"/>
                <w:left w:val="none" w:sz="0" w:space="0" w:color="auto"/>
                <w:bottom w:val="none" w:sz="0" w:space="0" w:color="auto"/>
                <w:right w:val="none" w:sz="0" w:space="0" w:color="auto"/>
              </w:divBdr>
              <w:divsChild>
                <w:div w:id="3475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34763">
      <w:bodyDiv w:val="1"/>
      <w:marLeft w:val="0"/>
      <w:marRight w:val="0"/>
      <w:marTop w:val="0"/>
      <w:marBottom w:val="0"/>
      <w:divBdr>
        <w:top w:val="none" w:sz="0" w:space="0" w:color="auto"/>
        <w:left w:val="none" w:sz="0" w:space="0" w:color="auto"/>
        <w:bottom w:val="none" w:sz="0" w:space="0" w:color="auto"/>
        <w:right w:val="none" w:sz="0" w:space="0" w:color="auto"/>
      </w:divBdr>
    </w:div>
    <w:div w:id="1470825584">
      <w:bodyDiv w:val="1"/>
      <w:marLeft w:val="0"/>
      <w:marRight w:val="0"/>
      <w:marTop w:val="0"/>
      <w:marBottom w:val="0"/>
      <w:divBdr>
        <w:top w:val="none" w:sz="0" w:space="0" w:color="auto"/>
        <w:left w:val="none" w:sz="0" w:space="0" w:color="auto"/>
        <w:bottom w:val="none" w:sz="0" w:space="0" w:color="auto"/>
        <w:right w:val="none" w:sz="0" w:space="0" w:color="auto"/>
      </w:divBdr>
    </w:div>
    <w:div w:id="1489638654">
      <w:bodyDiv w:val="1"/>
      <w:marLeft w:val="0"/>
      <w:marRight w:val="0"/>
      <w:marTop w:val="0"/>
      <w:marBottom w:val="0"/>
      <w:divBdr>
        <w:top w:val="none" w:sz="0" w:space="0" w:color="auto"/>
        <w:left w:val="none" w:sz="0" w:space="0" w:color="auto"/>
        <w:bottom w:val="none" w:sz="0" w:space="0" w:color="auto"/>
        <w:right w:val="none" w:sz="0" w:space="0" w:color="auto"/>
      </w:divBdr>
      <w:divsChild>
        <w:div w:id="1491406506">
          <w:marLeft w:val="0"/>
          <w:marRight w:val="0"/>
          <w:marTop w:val="0"/>
          <w:marBottom w:val="0"/>
          <w:divBdr>
            <w:top w:val="none" w:sz="0" w:space="0" w:color="auto"/>
            <w:left w:val="none" w:sz="0" w:space="0" w:color="auto"/>
            <w:bottom w:val="none" w:sz="0" w:space="0" w:color="auto"/>
            <w:right w:val="none" w:sz="0" w:space="0" w:color="auto"/>
          </w:divBdr>
        </w:div>
      </w:divsChild>
    </w:div>
    <w:div w:id="1579634905">
      <w:bodyDiv w:val="1"/>
      <w:marLeft w:val="0"/>
      <w:marRight w:val="0"/>
      <w:marTop w:val="0"/>
      <w:marBottom w:val="0"/>
      <w:divBdr>
        <w:top w:val="none" w:sz="0" w:space="0" w:color="auto"/>
        <w:left w:val="none" w:sz="0" w:space="0" w:color="auto"/>
        <w:bottom w:val="none" w:sz="0" w:space="0" w:color="auto"/>
        <w:right w:val="none" w:sz="0" w:space="0" w:color="auto"/>
      </w:divBdr>
      <w:divsChild>
        <w:div w:id="601453423">
          <w:marLeft w:val="0"/>
          <w:marRight w:val="0"/>
          <w:marTop w:val="0"/>
          <w:marBottom w:val="0"/>
          <w:divBdr>
            <w:top w:val="none" w:sz="0" w:space="0" w:color="auto"/>
            <w:left w:val="none" w:sz="0" w:space="0" w:color="auto"/>
            <w:bottom w:val="none" w:sz="0" w:space="0" w:color="auto"/>
            <w:right w:val="none" w:sz="0" w:space="0" w:color="auto"/>
          </w:divBdr>
        </w:div>
      </w:divsChild>
    </w:div>
    <w:div w:id="1619722878">
      <w:bodyDiv w:val="1"/>
      <w:marLeft w:val="0"/>
      <w:marRight w:val="0"/>
      <w:marTop w:val="0"/>
      <w:marBottom w:val="0"/>
      <w:divBdr>
        <w:top w:val="none" w:sz="0" w:space="0" w:color="auto"/>
        <w:left w:val="none" w:sz="0" w:space="0" w:color="auto"/>
        <w:bottom w:val="none" w:sz="0" w:space="0" w:color="auto"/>
        <w:right w:val="none" w:sz="0" w:space="0" w:color="auto"/>
      </w:divBdr>
      <w:divsChild>
        <w:div w:id="265815623">
          <w:marLeft w:val="0"/>
          <w:marRight w:val="0"/>
          <w:marTop w:val="0"/>
          <w:marBottom w:val="0"/>
          <w:divBdr>
            <w:top w:val="none" w:sz="0" w:space="0" w:color="auto"/>
            <w:left w:val="none" w:sz="0" w:space="0" w:color="auto"/>
            <w:bottom w:val="none" w:sz="0" w:space="0" w:color="auto"/>
            <w:right w:val="none" w:sz="0" w:space="0" w:color="auto"/>
          </w:divBdr>
          <w:divsChild>
            <w:div w:id="312949144">
              <w:marLeft w:val="0"/>
              <w:marRight w:val="0"/>
              <w:marTop w:val="0"/>
              <w:marBottom w:val="0"/>
              <w:divBdr>
                <w:top w:val="none" w:sz="0" w:space="0" w:color="auto"/>
                <w:left w:val="none" w:sz="0" w:space="0" w:color="auto"/>
                <w:bottom w:val="none" w:sz="0" w:space="0" w:color="auto"/>
                <w:right w:val="none" w:sz="0" w:space="0" w:color="auto"/>
              </w:divBdr>
              <w:divsChild>
                <w:div w:id="6941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874311">
      <w:bodyDiv w:val="1"/>
      <w:marLeft w:val="0"/>
      <w:marRight w:val="0"/>
      <w:marTop w:val="0"/>
      <w:marBottom w:val="0"/>
      <w:divBdr>
        <w:top w:val="none" w:sz="0" w:space="0" w:color="auto"/>
        <w:left w:val="none" w:sz="0" w:space="0" w:color="auto"/>
        <w:bottom w:val="none" w:sz="0" w:space="0" w:color="auto"/>
        <w:right w:val="none" w:sz="0" w:space="0" w:color="auto"/>
      </w:divBdr>
    </w:div>
    <w:div w:id="1674337479">
      <w:bodyDiv w:val="1"/>
      <w:marLeft w:val="0"/>
      <w:marRight w:val="0"/>
      <w:marTop w:val="0"/>
      <w:marBottom w:val="0"/>
      <w:divBdr>
        <w:top w:val="none" w:sz="0" w:space="0" w:color="auto"/>
        <w:left w:val="none" w:sz="0" w:space="0" w:color="auto"/>
        <w:bottom w:val="none" w:sz="0" w:space="0" w:color="auto"/>
        <w:right w:val="none" w:sz="0" w:space="0" w:color="auto"/>
      </w:divBdr>
      <w:divsChild>
        <w:div w:id="2100634849">
          <w:marLeft w:val="0"/>
          <w:marRight w:val="0"/>
          <w:marTop w:val="0"/>
          <w:marBottom w:val="0"/>
          <w:divBdr>
            <w:top w:val="none" w:sz="0" w:space="0" w:color="auto"/>
            <w:left w:val="none" w:sz="0" w:space="0" w:color="auto"/>
            <w:bottom w:val="none" w:sz="0" w:space="0" w:color="auto"/>
            <w:right w:val="none" w:sz="0" w:space="0" w:color="auto"/>
          </w:divBdr>
          <w:divsChild>
            <w:div w:id="159358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18462">
      <w:bodyDiv w:val="1"/>
      <w:marLeft w:val="0"/>
      <w:marRight w:val="0"/>
      <w:marTop w:val="0"/>
      <w:marBottom w:val="0"/>
      <w:divBdr>
        <w:top w:val="none" w:sz="0" w:space="0" w:color="auto"/>
        <w:left w:val="none" w:sz="0" w:space="0" w:color="auto"/>
        <w:bottom w:val="none" w:sz="0" w:space="0" w:color="auto"/>
        <w:right w:val="none" w:sz="0" w:space="0" w:color="auto"/>
      </w:divBdr>
    </w:div>
    <w:div w:id="1753889877">
      <w:bodyDiv w:val="1"/>
      <w:marLeft w:val="0"/>
      <w:marRight w:val="0"/>
      <w:marTop w:val="0"/>
      <w:marBottom w:val="0"/>
      <w:divBdr>
        <w:top w:val="none" w:sz="0" w:space="0" w:color="auto"/>
        <w:left w:val="none" w:sz="0" w:space="0" w:color="auto"/>
        <w:bottom w:val="none" w:sz="0" w:space="0" w:color="auto"/>
        <w:right w:val="none" w:sz="0" w:space="0" w:color="auto"/>
      </w:divBdr>
      <w:divsChild>
        <w:div w:id="767694809">
          <w:marLeft w:val="0"/>
          <w:marRight w:val="0"/>
          <w:marTop w:val="0"/>
          <w:marBottom w:val="0"/>
          <w:divBdr>
            <w:top w:val="none" w:sz="0" w:space="0" w:color="auto"/>
            <w:left w:val="none" w:sz="0" w:space="0" w:color="auto"/>
            <w:bottom w:val="none" w:sz="0" w:space="0" w:color="auto"/>
            <w:right w:val="none" w:sz="0" w:space="0" w:color="auto"/>
          </w:divBdr>
          <w:divsChild>
            <w:div w:id="1397902002">
              <w:marLeft w:val="0"/>
              <w:marRight w:val="0"/>
              <w:marTop w:val="0"/>
              <w:marBottom w:val="0"/>
              <w:divBdr>
                <w:top w:val="none" w:sz="0" w:space="0" w:color="auto"/>
                <w:left w:val="none" w:sz="0" w:space="0" w:color="auto"/>
                <w:bottom w:val="none" w:sz="0" w:space="0" w:color="auto"/>
                <w:right w:val="none" w:sz="0" w:space="0" w:color="auto"/>
              </w:divBdr>
              <w:divsChild>
                <w:div w:id="2668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6667">
      <w:bodyDiv w:val="1"/>
      <w:marLeft w:val="0"/>
      <w:marRight w:val="0"/>
      <w:marTop w:val="0"/>
      <w:marBottom w:val="0"/>
      <w:divBdr>
        <w:top w:val="none" w:sz="0" w:space="0" w:color="auto"/>
        <w:left w:val="none" w:sz="0" w:space="0" w:color="auto"/>
        <w:bottom w:val="none" w:sz="0" w:space="0" w:color="auto"/>
        <w:right w:val="none" w:sz="0" w:space="0" w:color="auto"/>
      </w:divBdr>
    </w:div>
    <w:div w:id="1893956686">
      <w:bodyDiv w:val="1"/>
      <w:marLeft w:val="0"/>
      <w:marRight w:val="0"/>
      <w:marTop w:val="0"/>
      <w:marBottom w:val="0"/>
      <w:divBdr>
        <w:top w:val="none" w:sz="0" w:space="0" w:color="auto"/>
        <w:left w:val="none" w:sz="0" w:space="0" w:color="auto"/>
        <w:bottom w:val="none" w:sz="0" w:space="0" w:color="auto"/>
        <w:right w:val="none" w:sz="0" w:space="0" w:color="auto"/>
      </w:divBdr>
    </w:div>
    <w:div w:id="1912958899">
      <w:bodyDiv w:val="1"/>
      <w:marLeft w:val="0"/>
      <w:marRight w:val="0"/>
      <w:marTop w:val="0"/>
      <w:marBottom w:val="0"/>
      <w:divBdr>
        <w:top w:val="none" w:sz="0" w:space="0" w:color="auto"/>
        <w:left w:val="none" w:sz="0" w:space="0" w:color="auto"/>
        <w:bottom w:val="none" w:sz="0" w:space="0" w:color="auto"/>
        <w:right w:val="none" w:sz="0" w:space="0" w:color="auto"/>
      </w:divBdr>
    </w:div>
    <w:div w:id="1957830315">
      <w:bodyDiv w:val="1"/>
      <w:marLeft w:val="0"/>
      <w:marRight w:val="0"/>
      <w:marTop w:val="0"/>
      <w:marBottom w:val="0"/>
      <w:divBdr>
        <w:top w:val="none" w:sz="0" w:space="0" w:color="auto"/>
        <w:left w:val="none" w:sz="0" w:space="0" w:color="auto"/>
        <w:bottom w:val="none" w:sz="0" w:space="0" w:color="auto"/>
        <w:right w:val="none" w:sz="0" w:space="0" w:color="auto"/>
      </w:divBdr>
    </w:div>
    <w:div w:id="2000888787">
      <w:bodyDiv w:val="1"/>
      <w:marLeft w:val="0"/>
      <w:marRight w:val="0"/>
      <w:marTop w:val="0"/>
      <w:marBottom w:val="0"/>
      <w:divBdr>
        <w:top w:val="none" w:sz="0" w:space="0" w:color="auto"/>
        <w:left w:val="none" w:sz="0" w:space="0" w:color="auto"/>
        <w:bottom w:val="none" w:sz="0" w:space="0" w:color="auto"/>
        <w:right w:val="none" w:sz="0" w:space="0" w:color="auto"/>
      </w:divBdr>
    </w:div>
    <w:div w:id="2036929970">
      <w:bodyDiv w:val="1"/>
      <w:marLeft w:val="0"/>
      <w:marRight w:val="0"/>
      <w:marTop w:val="0"/>
      <w:marBottom w:val="0"/>
      <w:divBdr>
        <w:top w:val="none" w:sz="0" w:space="0" w:color="auto"/>
        <w:left w:val="none" w:sz="0" w:space="0" w:color="auto"/>
        <w:bottom w:val="none" w:sz="0" w:space="0" w:color="auto"/>
        <w:right w:val="none" w:sz="0" w:space="0" w:color="auto"/>
      </w:divBdr>
    </w:div>
    <w:div w:id="2046178650">
      <w:bodyDiv w:val="1"/>
      <w:marLeft w:val="0"/>
      <w:marRight w:val="0"/>
      <w:marTop w:val="0"/>
      <w:marBottom w:val="0"/>
      <w:divBdr>
        <w:top w:val="none" w:sz="0" w:space="0" w:color="auto"/>
        <w:left w:val="none" w:sz="0" w:space="0" w:color="auto"/>
        <w:bottom w:val="none" w:sz="0" w:space="0" w:color="auto"/>
        <w:right w:val="none" w:sz="0" w:space="0" w:color="auto"/>
      </w:divBdr>
    </w:div>
    <w:div w:id="2064253041">
      <w:bodyDiv w:val="1"/>
      <w:marLeft w:val="0"/>
      <w:marRight w:val="0"/>
      <w:marTop w:val="0"/>
      <w:marBottom w:val="0"/>
      <w:divBdr>
        <w:top w:val="none" w:sz="0" w:space="0" w:color="auto"/>
        <w:left w:val="none" w:sz="0" w:space="0" w:color="auto"/>
        <w:bottom w:val="none" w:sz="0" w:space="0" w:color="auto"/>
        <w:right w:val="none" w:sz="0" w:space="0" w:color="auto"/>
      </w:divBdr>
    </w:div>
    <w:div w:id="2120828281">
      <w:bodyDiv w:val="1"/>
      <w:marLeft w:val="0"/>
      <w:marRight w:val="0"/>
      <w:marTop w:val="0"/>
      <w:marBottom w:val="0"/>
      <w:divBdr>
        <w:top w:val="none" w:sz="0" w:space="0" w:color="auto"/>
        <w:left w:val="none" w:sz="0" w:space="0" w:color="auto"/>
        <w:bottom w:val="none" w:sz="0" w:space="0" w:color="auto"/>
        <w:right w:val="none" w:sz="0" w:space="0" w:color="auto"/>
      </w:divBdr>
      <w:divsChild>
        <w:div w:id="1116632712">
          <w:marLeft w:val="0"/>
          <w:marRight w:val="0"/>
          <w:marTop w:val="0"/>
          <w:marBottom w:val="0"/>
          <w:divBdr>
            <w:top w:val="none" w:sz="0" w:space="0" w:color="auto"/>
            <w:left w:val="none" w:sz="0" w:space="0" w:color="auto"/>
            <w:bottom w:val="none" w:sz="0" w:space="0" w:color="auto"/>
            <w:right w:val="none" w:sz="0" w:space="0" w:color="auto"/>
          </w:divBdr>
        </w:div>
      </w:divsChild>
    </w:div>
    <w:div w:id="212699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Microsoft_Excel_97-2003_Worksheet1.xls"/><Relationship Id="rId26" Type="http://schemas.openxmlformats.org/officeDocument/2006/relationships/package" Target="embeddings/Microsoft_Excel_Worksheet7.xlsx"/><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5.xlsx"/><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Excel_Worksheet6.xlsx"/><Relationship Id="rId32" Type="http://schemas.openxmlformats.org/officeDocument/2006/relationships/oleObject" Target="embeddings/Microsoft_Excel_97-2003_Worksheet3.xls"/><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Excel_Worksheet8.xlsx"/><Relationship Id="rId36" Type="http://schemas.openxmlformats.org/officeDocument/2006/relationships/theme" Target="theme/theme1.xml"/><Relationship Id="rId10" Type="http://schemas.openxmlformats.org/officeDocument/2006/relationships/package" Target="embeddings/Microsoft_Excel_Worksheet1.xlsx"/><Relationship Id="rId19" Type="http://schemas.openxmlformats.org/officeDocument/2006/relationships/image" Target="media/image6.emf"/><Relationship Id="rId31" Type="http://schemas.openxmlformats.org/officeDocument/2006/relationships/image" Target="media/image1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oleObject" Target="embeddings/Microsoft_Excel_97-2003_Worksheet2.xls"/><Relationship Id="rId27" Type="http://schemas.openxmlformats.org/officeDocument/2006/relationships/image" Target="media/image10.emf"/><Relationship Id="rId30" Type="http://schemas.openxmlformats.org/officeDocument/2006/relationships/package" Target="embeddings/Microsoft_Excel_Worksheet9.xlsx"/><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A3105-AC69-4364-9A66-85F6C891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11</Pages>
  <Words>2628</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YINSON HOLDINGS BERHAD (Company No</vt:lpstr>
    </vt:vector>
  </TitlesOfParts>
  <Company>Yinson Transport (M) Sdn Bhd</Company>
  <LinksUpToDate>false</LinksUpToDate>
  <CharactersWithSpaces>17579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YINSON HOLDINGS BERHAD (Company No</dc:title>
  <dc:creator>Tan Fang Fing</dc:creator>
  <cp:lastModifiedBy>comuser</cp:lastModifiedBy>
  <cp:revision>33</cp:revision>
  <cp:lastPrinted>2013-09-26T10:20:00Z</cp:lastPrinted>
  <dcterms:created xsi:type="dcterms:W3CDTF">2013-09-18T04:29:00Z</dcterms:created>
  <dcterms:modified xsi:type="dcterms:W3CDTF">2013-09-26T10:22:00Z</dcterms:modified>
</cp:coreProperties>
</file>